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FF7CA" w14:textId="77777777" w:rsidR="006B75D5" w:rsidRPr="006C4611" w:rsidRDefault="006B75D5" w:rsidP="006B75D5">
      <w:pPr>
        <w:pStyle w:val="BodyText"/>
        <w:ind w:left="4360"/>
        <w:rPr>
          <w:sz w:val="20"/>
        </w:rPr>
      </w:pPr>
      <w:bookmarkStart w:id="0" w:name="_Hlk213239312"/>
      <w:bookmarkEnd w:id="0"/>
      <w:r w:rsidRPr="006C4611">
        <w:rPr>
          <w:noProof/>
          <w:sz w:val="20"/>
        </w:rPr>
        <w:drawing>
          <wp:inline distT="0" distB="0" distL="0" distR="0" wp14:anchorId="05774C71" wp14:editId="4CBC30D0">
            <wp:extent cx="399202" cy="507492"/>
            <wp:effectExtent l="0" t="0" r="0" b="0"/>
            <wp:docPr id="531555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02" cy="50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B4B9D" w14:textId="77777777" w:rsidR="006B75D5" w:rsidRPr="006C4611" w:rsidRDefault="006B75D5" w:rsidP="006B75D5">
      <w:pPr>
        <w:jc w:val="center"/>
        <w:rPr>
          <w:sz w:val="32"/>
          <w:szCs w:val="28"/>
        </w:rPr>
      </w:pPr>
      <w:r w:rsidRPr="006C4611">
        <w:rPr>
          <w:sz w:val="32"/>
          <w:szCs w:val="28"/>
        </w:rPr>
        <w:t>REPUBLIKA HRVATSKA</w:t>
      </w:r>
    </w:p>
    <w:p w14:paraId="1D54FD32" w14:textId="7096491A" w:rsidR="006B75D5" w:rsidRPr="006C4611" w:rsidRDefault="006B75D5" w:rsidP="006B75D5">
      <w:pPr>
        <w:jc w:val="center"/>
        <w:rPr>
          <w:sz w:val="32"/>
          <w:szCs w:val="28"/>
        </w:rPr>
      </w:pPr>
      <w:r w:rsidRPr="006C4611">
        <w:rPr>
          <w:sz w:val="32"/>
          <w:szCs w:val="28"/>
        </w:rPr>
        <w:t>VUKOVARSKO-SRIJEMSKA</w:t>
      </w:r>
      <w:r w:rsidRPr="006C4611">
        <w:rPr>
          <w:spacing w:val="-23"/>
          <w:sz w:val="32"/>
          <w:szCs w:val="28"/>
        </w:rPr>
        <w:t xml:space="preserve"> Ž</w:t>
      </w:r>
      <w:r w:rsidRPr="006C4611">
        <w:rPr>
          <w:sz w:val="32"/>
          <w:szCs w:val="28"/>
        </w:rPr>
        <w:t>UPANIJA</w:t>
      </w:r>
    </w:p>
    <w:p w14:paraId="7D33617D" w14:textId="19A0BE37" w:rsidR="006B75D5" w:rsidRPr="006C4611" w:rsidRDefault="006B75D5" w:rsidP="006B75D5">
      <w:pPr>
        <w:spacing w:before="18"/>
        <w:ind w:left="1471" w:right="1473" w:firstLine="2"/>
        <w:jc w:val="center"/>
        <w:rPr>
          <w:rFonts w:cs="Times New Roman"/>
          <w:szCs w:val="24"/>
        </w:rPr>
      </w:pPr>
      <w:r w:rsidRPr="006C4611">
        <w:rPr>
          <w:b/>
          <w:sz w:val="36"/>
        </w:rPr>
        <w:t>RAZVOJNA AGENCIJA TINTL</w:t>
      </w:r>
    </w:p>
    <w:p w14:paraId="7BC2B89E" w14:textId="06D03950" w:rsidR="001A3070" w:rsidRPr="006C4611" w:rsidRDefault="001A3070" w:rsidP="00DE5731">
      <w:pPr>
        <w:spacing w:after="0"/>
        <w:jc w:val="center"/>
        <w:rPr>
          <w:rFonts w:cs="Times New Roman"/>
          <w:szCs w:val="24"/>
        </w:rPr>
      </w:pPr>
      <w:r w:rsidRPr="006C4611">
        <w:rPr>
          <w:noProof/>
        </w:rPr>
        <w:drawing>
          <wp:inline distT="0" distB="0" distL="0" distR="0" wp14:anchorId="423D3558" wp14:editId="6A1351C8">
            <wp:extent cx="1653540" cy="697725"/>
            <wp:effectExtent l="0" t="0" r="381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944" cy="70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DE1D3" w14:textId="2DC29782" w:rsidR="00FD34B9" w:rsidRPr="006C4611" w:rsidRDefault="00FD34B9" w:rsidP="00537705">
      <w:pPr>
        <w:spacing w:after="0"/>
        <w:rPr>
          <w:rFonts w:cs="Times New Roman"/>
          <w:szCs w:val="24"/>
        </w:rPr>
      </w:pPr>
    </w:p>
    <w:p w14:paraId="1D3B33F7" w14:textId="528256A5" w:rsidR="00705CA9" w:rsidRPr="006C4611" w:rsidRDefault="00705CA9" w:rsidP="00537705">
      <w:pPr>
        <w:spacing w:after="0"/>
        <w:rPr>
          <w:rFonts w:cs="Times New Roman"/>
          <w:szCs w:val="24"/>
        </w:rPr>
      </w:pPr>
    </w:p>
    <w:p w14:paraId="5F32E8DD" w14:textId="77777777" w:rsidR="00DE5731" w:rsidRPr="006C4611" w:rsidRDefault="00DE5731" w:rsidP="00537705">
      <w:pPr>
        <w:spacing w:after="0"/>
        <w:rPr>
          <w:rFonts w:cs="Times New Roman"/>
          <w:szCs w:val="24"/>
        </w:rPr>
      </w:pPr>
    </w:p>
    <w:p w14:paraId="3BBD8750" w14:textId="77777777" w:rsidR="00DE5731" w:rsidRPr="006C4611" w:rsidRDefault="00DE5731" w:rsidP="00537705">
      <w:pPr>
        <w:spacing w:after="0"/>
        <w:rPr>
          <w:rFonts w:cs="Times New Roman"/>
          <w:szCs w:val="24"/>
        </w:rPr>
      </w:pPr>
    </w:p>
    <w:p w14:paraId="2EE0BEB2" w14:textId="77777777" w:rsidR="00DE5731" w:rsidRPr="006C4611" w:rsidRDefault="00DE5731" w:rsidP="00537705">
      <w:pPr>
        <w:spacing w:after="0"/>
        <w:rPr>
          <w:rFonts w:cs="Times New Roman"/>
          <w:szCs w:val="24"/>
        </w:rPr>
      </w:pPr>
    </w:p>
    <w:p w14:paraId="53490077" w14:textId="77777777" w:rsidR="00DE5731" w:rsidRPr="006C4611" w:rsidRDefault="00DE5731" w:rsidP="00537705">
      <w:pPr>
        <w:spacing w:after="0"/>
        <w:rPr>
          <w:rFonts w:cs="Times New Roman"/>
          <w:szCs w:val="24"/>
        </w:rPr>
      </w:pPr>
    </w:p>
    <w:p w14:paraId="6D42CAE2" w14:textId="094A735A" w:rsidR="00705CA9" w:rsidRPr="006C4611" w:rsidRDefault="00705CA9" w:rsidP="00537705">
      <w:pPr>
        <w:spacing w:after="0"/>
        <w:rPr>
          <w:rFonts w:cs="Times New Roman"/>
          <w:szCs w:val="24"/>
        </w:rPr>
      </w:pPr>
    </w:p>
    <w:p w14:paraId="02E35C0F" w14:textId="77777777" w:rsidR="00FD34B9" w:rsidRPr="006C4611" w:rsidRDefault="00FD34B9" w:rsidP="00537705">
      <w:pPr>
        <w:spacing w:after="0"/>
        <w:rPr>
          <w:rFonts w:cs="Times New Roman"/>
          <w:szCs w:val="24"/>
        </w:rPr>
      </w:pPr>
    </w:p>
    <w:p w14:paraId="7FA99682" w14:textId="0ACE793A" w:rsidR="002A5667" w:rsidRPr="006C4611" w:rsidRDefault="00DE5731" w:rsidP="00DE5731">
      <w:pPr>
        <w:spacing w:after="0"/>
        <w:jc w:val="center"/>
        <w:rPr>
          <w:rFonts w:cs="Times New Roman"/>
          <w:b/>
          <w:bCs/>
          <w:sz w:val="40"/>
          <w:szCs w:val="40"/>
        </w:rPr>
      </w:pPr>
      <w:r w:rsidRPr="006C4611">
        <w:rPr>
          <w:rFonts w:cs="Times New Roman"/>
          <w:b/>
          <w:bCs/>
          <w:sz w:val="40"/>
          <w:szCs w:val="40"/>
        </w:rPr>
        <w:t>GODIŠNJI PLAN RADA</w:t>
      </w:r>
    </w:p>
    <w:p w14:paraId="4F4B5763" w14:textId="2ABB4C69" w:rsidR="00DE5731" w:rsidRPr="006C4611" w:rsidRDefault="00DE5731" w:rsidP="00DE5731">
      <w:pPr>
        <w:spacing w:after="0"/>
        <w:jc w:val="center"/>
        <w:rPr>
          <w:rFonts w:cs="Times New Roman"/>
          <w:b/>
          <w:bCs/>
          <w:sz w:val="40"/>
          <w:szCs w:val="40"/>
        </w:rPr>
      </w:pPr>
      <w:r w:rsidRPr="006C4611">
        <w:rPr>
          <w:rFonts w:cs="Times New Roman"/>
          <w:b/>
          <w:bCs/>
          <w:sz w:val="40"/>
          <w:szCs w:val="40"/>
        </w:rPr>
        <w:t>RAZVOJNE AGENCIJE TINTL</w:t>
      </w:r>
    </w:p>
    <w:p w14:paraId="38BE1AA9" w14:textId="1BC44C20" w:rsidR="00DE5731" w:rsidRPr="006C4611" w:rsidRDefault="00DE5731" w:rsidP="00DE5731">
      <w:pPr>
        <w:spacing w:after="0"/>
        <w:jc w:val="center"/>
        <w:rPr>
          <w:rFonts w:cs="Times New Roman"/>
          <w:b/>
          <w:bCs/>
          <w:sz w:val="40"/>
          <w:szCs w:val="40"/>
        </w:rPr>
      </w:pPr>
      <w:r w:rsidRPr="006C4611">
        <w:rPr>
          <w:rFonts w:cs="Times New Roman"/>
          <w:b/>
          <w:bCs/>
          <w:sz w:val="40"/>
          <w:szCs w:val="40"/>
        </w:rPr>
        <w:t>ZA 202</w:t>
      </w:r>
      <w:r w:rsidR="006B75D5" w:rsidRPr="006C4611">
        <w:rPr>
          <w:rFonts w:cs="Times New Roman"/>
          <w:b/>
          <w:bCs/>
          <w:sz w:val="40"/>
          <w:szCs w:val="40"/>
        </w:rPr>
        <w:t>6</w:t>
      </w:r>
      <w:r w:rsidRPr="006C4611">
        <w:rPr>
          <w:rFonts w:cs="Times New Roman"/>
          <w:b/>
          <w:bCs/>
          <w:sz w:val="40"/>
          <w:szCs w:val="40"/>
        </w:rPr>
        <w:t>. GODINU</w:t>
      </w:r>
    </w:p>
    <w:p w14:paraId="2FE05CE2" w14:textId="77777777" w:rsidR="00DE5731" w:rsidRPr="006C4611" w:rsidRDefault="00DE5731" w:rsidP="00DE5731">
      <w:pPr>
        <w:spacing w:after="0"/>
        <w:jc w:val="center"/>
        <w:rPr>
          <w:rFonts w:cs="Times New Roman"/>
          <w:b/>
          <w:bCs/>
          <w:szCs w:val="24"/>
        </w:rPr>
      </w:pPr>
    </w:p>
    <w:p w14:paraId="23AEB016" w14:textId="77777777" w:rsidR="002A5667" w:rsidRPr="006C4611" w:rsidRDefault="002A5667" w:rsidP="00A125F7">
      <w:pPr>
        <w:spacing w:after="0"/>
        <w:rPr>
          <w:rFonts w:cs="Times New Roman"/>
          <w:szCs w:val="24"/>
        </w:rPr>
      </w:pPr>
    </w:p>
    <w:p w14:paraId="1FE891D7" w14:textId="77777777" w:rsidR="002A5667" w:rsidRPr="006C4611" w:rsidRDefault="002A5667" w:rsidP="00A125F7">
      <w:pPr>
        <w:spacing w:after="0"/>
        <w:rPr>
          <w:rFonts w:cs="Times New Roman"/>
          <w:szCs w:val="24"/>
        </w:rPr>
      </w:pPr>
    </w:p>
    <w:p w14:paraId="4DB4D575" w14:textId="77777777" w:rsidR="00DE5731" w:rsidRPr="006C4611" w:rsidRDefault="00DE5731" w:rsidP="00A125F7">
      <w:pPr>
        <w:spacing w:after="0"/>
        <w:rPr>
          <w:rFonts w:cs="Times New Roman"/>
          <w:szCs w:val="24"/>
        </w:rPr>
      </w:pPr>
    </w:p>
    <w:p w14:paraId="0E150304" w14:textId="77777777" w:rsidR="00DE5731" w:rsidRPr="006C4611" w:rsidRDefault="00DE5731" w:rsidP="00A125F7">
      <w:pPr>
        <w:spacing w:after="0"/>
        <w:rPr>
          <w:rFonts w:cs="Times New Roman"/>
          <w:szCs w:val="24"/>
        </w:rPr>
      </w:pPr>
    </w:p>
    <w:p w14:paraId="37A46BE4" w14:textId="77777777" w:rsidR="00DE5731" w:rsidRPr="006C4611" w:rsidRDefault="00DE5731" w:rsidP="00A125F7">
      <w:pPr>
        <w:spacing w:after="0"/>
        <w:rPr>
          <w:rFonts w:cs="Times New Roman"/>
          <w:szCs w:val="24"/>
        </w:rPr>
      </w:pPr>
    </w:p>
    <w:p w14:paraId="54C0AF93" w14:textId="77777777" w:rsidR="00DE5731" w:rsidRPr="006C4611" w:rsidRDefault="00DE5731" w:rsidP="00A125F7">
      <w:pPr>
        <w:spacing w:after="0"/>
        <w:rPr>
          <w:rFonts w:cs="Times New Roman"/>
          <w:szCs w:val="24"/>
        </w:rPr>
      </w:pPr>
    </w:p>
    <w:p w14:paraId="0489DED5" w14:textId="77777777" w:rsidR="00DE5731" w:rsidRPr="006C4611" w:rsidRDefault="00DE5731" w:rsidP="00A125F7">
      <w:pPr>
        <w:spacing w:after="0"/>
        <w:rPr>
          <w:rFonts w:cs="Times New Roman"/>
          <w:szCs w:val="24"/>
        </w:rPr>
      </w:pPr>
    </w:p>
    <w:p w14:paraId="168EC521" w14:textId="77777777" w:rsidR="00DE5731" w:rsidRPr="006C4611" w:rsidRDefault="00DE5731" w:rsidP="00A125F7">
      <w:pPr>
        <w:spacing w:after="0"/>
        <w:rPr>
          <w:rFonts w:cs="Times New Roman"/>
          <w:szCs w:val="24"/>
        </w:rPr>
      </w:pPr>
    </w:p>
    <w:p w14:paraId="27448844" w14:textId="23B473FB" w:rsidR="00DE5731" w:rsidRPr="006C4611" w:rsidRDefault="00DE5731" w:rsidP="00DE5731">
      <w:pPr>
        <w:spacing w:after="0"/>
        <w:jc w:val="center"/>
        <w:rPr>
          <w:rFonts w:cs="Times New Roman"/>
          <w:szCs w:val="24"/>
        </w:rPr>
      </w:pPr>
      <w:r w:rsidRPr="006C4611">
        <w:rPr>
          <w:rFonts w:cs="Times New Roman"/>
          <w:szCs w:val="24"/>
        </w:rPr>
        <w:t xml:space="preserve">Tovarnik, </w:t>
      </w:r>
      <w:r w:rsidR="006B75D5" w:rsidRPr="006C4611">
        <w:rPr>
          <w:rFonts w:cs="Times New Roman"/>
          <w:szCs w:val="24"/>
        </w:rPr>
        <w:t>05</w:t>
      </w:r>
      <w:r w:rsidRPr="006C4611">
        <w:rPr>
          <w:rFonts w:cs="Times New Roman"/>
          <w:szCs w:val="24"/>
        </w:rPr>
        <w:t>.</w:t>
      </w:r>
      <w:r w:rsidR="006B75D5" w:rsidRPr="006C4611">
        <w:rPr>
          <w:rFonts w:cs="Times New Roman"/>
          <w:szCs w:val="24"/>
        </w:rPr>
        <w:t xml:space="preserve"> listopad</w:t>
      </w:r>
      <w:r w:rsidRPr="006C4611">
        <w:rPr>
          <w:rFonts w:cs="Times New Roman"/>
          <w:szCs w:val="24"/>
        </w:rPr>
        <w:t xml:space="preserve"> 202</w:t>
      </w:r>
      <w:r w:rsidR="006B75D5" w:rsidRPr="006C4611">
        <w:rPr>
          <w:rFonts w:cs="Times New Roman"/>
          <w:szCs w:val="24"/>
        </w:rPr>
        <w:t>5</w:t>
      </w:r>
      <w:r w:rsidRPr="006C4611">
        <w:rPr>
          <w:rFonts w:cs="Times New Roman"/>
          <w:szCs w:val="24"/>
        </w:rPr>
        <w:t>. godine</w:t>
      </w:r>
    </w:p>
    <w:p w14:paraId="06F5F120" w14:textId="77777777" w:rsidR="00DE5731" w:rsidRPr="006C4611" w:rsidRDefault="00DE5731" w:rsidP="00DE5731">
      <w:pPr>
        <w:spacing w:after="0"/>
        <w:jc w:val="center"/>
        <w:rPr>
          <w:rFonts w:cs="Times New Roman"/>
          <w:szCs w:val="24"/>
        </w:rPr>
      </w:pPr>
    </w:p>
    <w:p w14:paraId="42B5F99B" w14:textId="74E00542" w:rsidR="00DE5731" w:rsidRPr="006C4611" w:rsidRDefault="00DE5731" w:rsidP="00DE5731">
      <w:pPr>
        <w:spacing w:after="0"/>
        <w:jc w:val="center"/>
        <w:rPr>
          <w:rFonts w:cs="Times New Roman"/>
          <w:b/>
          <w:bCs/>
          <w:szCs w:val="24"/>
        </w:rPr>
      </w:pPr>
      <w:r w:rsidRPr="006C4611">
        <w:rPr>
          <w:rFonts w:cs="Times New Roman"/>
          <w:b/>
          <w:bCs/>
          <w:szCs w:val="24"/>
        </w:rPr>
        <w:t>SADRŽAJ</w:t>
      </w:r>
    </w:p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  <w:id w:val="-1227303233"/>
        <w:docPartObj>
          <w:docPartGallery w:val="Table of Contents"/>
          <w:docPartUnique/>
        </w:docPartObj>
      </w:sdtPr>
      <w:sdtEndPr>
        <w:rPr>
          <w:rFonts w:cs="Times New Roman"/>
          <w:b/>
          <w:bCs/>
        </w:rPr>
      </w:sdtEndPr>
      <w:sdtContent>
        <w:p w14:paraId="66015F3F" w14:textId="56C1ABC2" w:rsidR="00DE5731" w:rsidRPr="006C4611" w:rsidRDefault="00DE5731">
          <w:pPr>
            <w:pStyle w:val="TOCHeading"/>
          </w:pPr>
        </w:p>
        <w:p w14:paraId="1B000242" w14:textId="0A8E9027" w:rsidR="004E06E2" w:rsidRPr="006C4611" w:rsidRDefault="00DE5731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r w:rsidRPr="006C4611">
            <w:rPr>
              <w:rFonts w:cs="Times New Roman"/>
            </w:rPr>
            <w:fldChar w:fldCharType="begin"/>
          </w:r>
          <w:r w:rsidRPr="006C4611">
            <w:rPr>
              <w:rFonts w:cs="Times New Roman"/>
            </w:rPr>
            <w:instrText xml:space="preserve"> TOC \o "1-3" \h \z \u </w:instrText>
          </w:r>
          <w:r w:rsidRPr="006C4611">
            <w:rPr>
              <w:rFonts w:cs="Times New Roman"/>
            </w:rPr>
            <w:fldChar w:fldCharType="separate"/>
          </w:r>
          <w:hyperlink w:anchor="_Toc213328492" w:history="1">
            <w:r w:rsidR="004E06E2" w:rsidRPr="006C4611">
              <w:rPr>
                <w:rStyle w:val="Hyperlink"/>
                <w:noProof/>
              </w:rPr>
              <w:t>PREDGOVOR</w:t>
            </w:r>
            <w:r w:rsidR="004E06E2" w:rsidRPr="006C4611">
              <w:rPr>
                <w:noProof/>
                <w:webHidden/>
              </w:rPr>
              <w:tab/>
            </w:r>
            <w:r w:rsidR="004E06E2" w:rsidRPr="006C4611">
              <w:rPr>
                <w:noProof/>
                <w:webHidden/>
              </w:rPr>
              <w:fldChar w:fldCharType="begin"/>
            </w:r>
            <w:r w:rsidR="004E06E2" w:rsidRPr="006C4611">
              <w:rPr>
                <w:noProof/>
                <w:webHidden/>
              </w:rPr>
              <w:instrText xml:space="preserve"> PAGEREF _Toc213328492 \h </w:instrText>
            </w:r>
            <w:r w:rsidR="004E06E2" w:rsidRPr="006C4611">
              <w:rPr>
                <w:noProof/>
                <w:webHidden/>
              </w:rPr>
            </w:r>
            <w:r w:rsidR="004E06E2" w:rsidRPr="006C4611">
              <w:rPr>
                <w:noProof/>
                <w:webHidden/>
              </w:rPr>
              <w:fldChar w:fldCharType="separate"/>
            </w:r>
            <w:r w:rsidR="004E06E2" w:rsidRPr="006C4611">
              <w:rPr>
                <w:noProof/>
                <w:webHidden/>
              </w:rPr>
              <w:t>1</w:t>
            </w:r>
            <w:r w:rsidR="004E06E2" w:rsidRPr="006C4611">
              <w:rPr>
                <w:noProof/>
                <w:webHidden/>
              </w:rPr>
              <w:fldChar w:fldCharType="end"/>
            </w:r>
          </w:hyperlink>
        </w:p>
        <w:p w14:paraId="6A6350B3" w14:textId="2CB1AFE1" w:rsidR="004E06E2" w:rsidRPr="006C4611" w:rsidRDefault="004E06E2">
          <w:pPr>
            <w:pStyle w:val="TOC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213328493" w:history="1">
            <w:r w:rsidRPr="006C4611">
              <w:rPr>
                <w:rStyle w:val="Hyperlink"/>
                <w:noProof/>
              </w:rPr>
              <w:t>1.</w:t>
            </w:r>
            <w:r w:rsidRPr="006C4611"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6C4611">
              <w:rPr>
                <w:rStyle w:val="Hyperlink"/>
                <w:noProof/>
              </w:rPr>
              <w:t>UVOD</w:t>
            </w:r>
            <w:r w:rsidRPr="006C4611">
              <w:rPr>
                <w:noProof/>
                <w:webHidden/>
              </w:rPr>
              <w:tab/>
            </w:r>
            <w:r w:rsidRPr="006C4611">
              <w:rPr>
                <w:noProof/>
                <w:webHidden/>
              </w:rPr>
              <w:fldChar w:fldCharType="begin"/>
            </w:r>
            <w:r w:rsidRPr="006C4611">
              <w:rPr>
                <w:noProof/>
                <w:webHidden/>
              </w:rPr>
              <w:instrText xml:space="preserve"> PAGEREF _Toc213328493 \h </w:instrText>
            </w:r>
            <w:r w:rsidRPr="006C4611">
              <w:rPr>
                <w:noProof/>
                <w:webHidden/>
              </w:rPr>
            </w:r>
            <w:r w:rsidRPr="006C4611">
              <w:rPr>
                <w:noProof/>
                <w:webHidden/>
              </w:rPr>
              <w:fldChar w:fldCharType="separate"/>
            </w:r>
            <w:r w:rsidRPr="006C4611">
              <w:rPr>
                <w:noProof/>
                <w:webHidden/>
              </w:rPr>
              <w:t>2</w:t>
            </w:r>
            <w:r w:rsidRPr="006C4611">
              <w:rPr>
                <w:noProof/>
                <w:webHidden/>
              </w:rPr>
              <w:fldChar w:fldCharType="end"/>
            </w:r>
          </w:hyperlink>
        </w:p>
        <w:p w14:paraId="7F1BE21A" w14:textId="3BB36EA7" w:rsidR="004E06E2" w:rsidRPr="006C4611" w:rsidRDefault="004E06E2">
          <w:pPr>
            <w:pStyle w:val="TOC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213328494" w:history="1">
            <w:r w:rsidRPr="006C4611">
              <w:rPr>
                <w:rStyle w:val="Hyperlink"/>
                <w:noProof/>
              </w:rPr>
              <w:t>2.</w:t>
            </w:r>
            <w:r w:rsidRPr="006C4611"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6C4611">
              <w:rPr>
                <w:rStyle w:val="Hyperlink"/>
                <w:noProof/>
              </w:rPr>
              <w:t>DJELOKRUG RADA AGENCIJE</w:t>
            </w:r>
            <w:r w:rsidRPr="006C4611">
              <w:rPr>
                <w:noProof/>
                <w:webHidden/>
              </w:rPr>
              <w:tab/>
            </w:r>
            <w:r w:rsidRPr="006C4611">
              <w:rPr>
                <w:noProof/>
                <w:webHidden/>
              </w:rPr>
              <w:fldChar w:fldCharType="begin"/>
            </w:r>
            <w:r w:rsidRPr="006C4611">
              <w:rPr>
                <w:noProof/>
                <w:webHidden/>
              </w:rPr>
              <w:instrText xml:space="preserve"> PAGEREF _Toc213328494 \h </w:instrText>
            </w:r>
            <w:r w:rsidRPr="006C4611">
              <w:rPr>
                <w:noProof/>
                <w:webHidden/>
              </w:rPr>
            </w:r>
            <w:r w:rsidRPr="006C4611">
              <w:rPr>
                <w:noProof/>
                <w:webHidden/>
              </w:rPr>
              <w:fldChar w:fldCharType="separate"/>
            </w:r>
            <w:r w:rsidRPr="006C4611">
              <w:rPr>
                <w:noProof/>
                <w:webHidden/>
              </w:rPr>
              <w:t>2</w:t>
            </w:r>
            <w:r w:rsidRPr="006C4611">
              <w:rPr>
                <w:noProof/>
                <w:webHidden/>
              </w:rPr>
              <w:fldChar w:fldCharType="end"/>
            </w:r>
          </w:hyperlink>
        </w:p>
        <w:p w14:paraId="6BBE020B" w14:textId="014E29FF" w:rsidR="004E06E2" w:rsidRPr="006C4611" w:rsidRDefault="004E06E2">
          <w:pPr>
            <w:pStyle w:val="TOC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213328495" w:history="1">
            <w:r w:rsidRPr="006C4611">
              <w:rPr>
                <w:rStyle w:val="Hyperlink"/>
                <w:noProof/>
              </w:rPr>
              <w:t>3.</w:t>
            </w:r>
            <w:r w:rsidRPr="006C4611"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6C4611">
              <w:rPr>
                <w:rStyle w:val="Hyperlink"/>
                <w:noProof/>
              </w:rPr>
              <w:t>MISIJA</w:t>
            </w:r>
            <w:r w:rsidRPr="006C4611">
              <w:rPr>
                <w:noProof/>
                <w:webHidden/>
              </w:rPr>
              <w:tab/>
            </w:r>
            <w:r w:rsidRPr="006C4611">
              <w:rPr>
                <w:noProof/>
                <w:webHidden/>
              </w:rPr>
              <w:fldChar w:fldCharType="begin"/>
            </w:r>
            <w:r w:rsidRPr="006C4611">
              <w:rPr>
                <w:noProof/>
                <w:webHidden/>
              </w:rPr>
              <w:instrText xml:space="preserve"> PAGEREF _Toc213328495 \h </w:instrText>
            </w:r>
            <w:r w:rsidRPr="006C4611">
              <w:rPr>
                <w:noProof/>
                <w:webHidden/>
              </w:rPr>
            </w:r>
            <w:r w:rsidRPr="006C4611">
              <w:rPr>
                <w:noProof/>
                <w:webHidden/>
              </w:rPr>
              <w:fldChar w:fldCharType="separate"/>
            </w:r>
            <w:r w:rsidRPr="006C4611">
              <w:rPr>
                <w:noProof/>
                <w:webHidden/>
              </w:rPr>
              <w:t>3</w:t>
            </w:r>
            <w:r w:rsidRPr="006C4611">
              <w:rPr>
                <w:noProof/>
                <w:webHidden/>
              </w:rPr>
              <w:fldChar w:fldCharType="end"/>
            </w:r>
          </w:hyperlink>
        </w:p>
        <w:p w14:paraId="736150E9" w14:textId="5E4E0D6E" w:rsidR="004E06E2" w:rsidRPr="006C4611" w:rsidRDefault="004E06E2">
          <w:pPr>
            <w:pStyle w:val="TOC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213328496" w:history="1">
            <w:r w:rsidRPr="006C4611">
              <w:rPr>
                <w:rStyle w:val="Hyperlink"/>
                <w:noProof/>
              </w:rPr>
              <w:t>4.</w:t>
            </w:r>
            <w:r w:rsidRPr="006C4611"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6C4611">
              <w:rPr>
                <w:rStyle w:val="Hyperlink"/>
                <w:noProof/>
              </w:rPr>
              <w:t>VIZIJA</w:t>
            </w:r>
            <w:r w:rsidRPr="006C4611">
              <w:rPr>
                <w:noProof/>
                <w:webHidden/>
              </w:rPr>
              <w:tab/>
            </w:r>
            <w:r w:rsidRPr="006C4611">
              <w:rPr>
                <w:noProof/>
                <w:webHidden/>
              </w:rPr>
              <w:fldChar w:fldCharType="begin"/>
            </w:r>
            <w:r w:rsidRPr="006C4611">
              <w:rPr>
                <w:noProof/>
                <w:webHidden/>
              </w:rPr>
              <w:instrText xml:space="preserve"> PAGEREF _Toc213328496 \h </w:instrText>
            </w:r>
            <w:r w:rsidRPr="006C4611">
              <w:rPr>
                <w:noProof/>
                <w:webHidden/>
              </w:rPr>
            </w:r>
            <w:r w:rsidRPr="006C4611">
              <w:rPr>
                <w:noProof/>
                <w:webHidden/>
              </w:rPr>
              <w:fldChar w:fldCharType="separate"/>
            </w:r>
            <w:r w:rsidRPr="006C4611">
              <w:rPr>
                <w:noProof/>
                <w:webHidden/>
              </w:rPr>
              <w:t>3</w:t>
            </w:r>
            <w:r w:rsidRPr="006C4611">
              <w:rPr>
                <w:noProof/>
                <w:webHidden/>
              </w:rPr>
              <w:fldChar w:fldCharType="end"/>
            </w:r>
          </w:hyperlink>
        </w:p>
        <w:p w14:paraId="7769F0A7" w14:textId="2E5F6417" w:rsidR="004E06E2" w:rsidRPr="006C4611" w:rsidRDefault="004E06E2">
          <w:pPr>
            <w:pStyle w:val="TOC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213328497" w:history="1">
            <w:r w:rsidRPr="006C4611">
              <w:rPr>
                <w:rStyle w:val="Hyperlink"/>
                <w:noProof/>
              </w:rPr>
              <w:t>5.</w:t>
            </w:r>
            <w:r w:rsidRPr="006C4611"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6C4611">
              <w:rPr>
                <w:rStyle w:val="Hyperlink"/>
                <w:noProof/>
              </w:rPr>
              <w:t>VRIJEDNOSTI</w:t>
            </w:r>
            <w:r w:rsidRPr="006C4611">
              <w:rPr>
                <w:noProof/>
                <w:webHidden/>
              </w:rPr>
              <w:tab/>
            </w:r>
            <w:r w:rsidRPr="006C4611">
              <w:rPr>
                <w:noProof/>
                <w:webHidden/>
              </w:rPr>
              <w:fldChar w:fldCharType="begin"/>
            </w:r>
            <w:r w:rsidRPr="006C4611">
              <w:rPr>
                <w:noProof/>
                <w:webHidden/>
              </w:rPr>
              <w:instrText xml:space="preserve"> PAGEREF _Toc213328497 \h </w:instrText>
            </w:r>
            <w:r w:rsidRPr="006C4611">
              <w:rPr>
                <w:noProof/>
                <w:webHidden/>
              </w:rPr>
            </w:r>
            <w:r w:rsidRPr="006C4611">
              <w:rPr>
                <w:noProof/>
                <w:webHidden/>
              </w:rPr>
              <w:fldChar w:fldCharType="separate"/>
            </w:r>
            <w:r w:rsidRPr="006C4611">
              <w:rPr>
                <w:noProof/>
                <w:webHidden/>
              </w:rPr>
              <w:t>4</w:t>
            </w:r>
            <w:r w:rsidRPr="006C4611">
              <w:rPr>
                <w:noProof/>
                <w:webHidden/>
              </w:rPr>
              <w:fldChar w:fldCharType="end"/>
            </w:r>
          </w:hyperlink>
        </w:p>
        <w:p w14:paraId="36423A2B" w14:textId="4D3AED40" w:rsidR="004E06E2" w:rsidRPr="006C4611" w:rsidRDefault="004E06E2">
          <w:pPr>
            <w:pStyle w:val="TOC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213328498" w:history="1">
            <w:r w:rsidRPr="006C4611">
              <w:rPr>
                <w:rStyle w:val="Hyperlink"/>
                <w:noProof/>
              </w:rPr>
              <w:t>6.</w:t>
            </w:r>
            <w:r w:rsidRPr="006C4611"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6C4611">
              <w:rPr>
                <w:rStyle w:val="Hyperlink"/>
                <w:noProof/>
              </w:rPr>
              <w:t>KONTEKST</w:t>
            </w:r>
            <w:r w:rsidRPr="006C4611">
              <w:rPr>
                <w:noProof/>
                <w:webHidden/>
              </w:rPr>
              <w:tab/>
            </w:r>
            <w:r w:rsidRPr="006C4611">
              <w:rPr>
                <w:noProof/>
                <w:webHidden/>
              </w:rPr>
              <w:fldChar w:fldCharType="begin"/>
            </w:r>
            <w:r w:rsidRPr="006C4611">
              <w:rPr>
                <w:noProof/>
                <w:webHidden/>
              </w:rPr>
              <w:instrText xml:space="preserve"> PAGEREF _Toc213328498 \h </w:instrText>
            </w:r>
            <w:r w:rsidRPr="006C4611">
              <w:rPr>
                <w:noProof/>
                <w:webHidden/>
              </w:rPr>
            </w:r>
            <w:r w:rsidRPr="006C4611">
              <w:rPr>
                <w:noProof/>
                <w:webHidden/>
              </w:rPr>
              <w:fldChar w:fldCharType="separate"/>
            </w:r>
            <w:r w:rsidRPr="006C4611">
              <w:rPr>
                <w:noProof/>
                <w:webHidden/>
              </w:rPr>
              <w:t>5</w:t>
            </w:r>
            <w:r w:rsidRPr="006C4611">
              <w:rPr>
                <w:noProof/>
                <w:webHidden/>
              </w:rPr>
              <w:fldChar w:fldCharType="end"/>
            </w:r>
          </w:hyperlink>
        </w:p>
        <w:p w14:paraId="25BE5512" w14:textId="3D4EB0A2" w:rsidR="004E06E2" w:rsidRPr="006C4611" w:rsidRDefault="004E06E2">
          <w:pPr>
            <w:pStyle w:val="TOC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213328499" w:history="1">
            <w:r w:rsidRPr="006C4611">
              <w:rPr>
                <w:rStyle w:val="Hyperlink"/>
                <w:noProof/>
              </w:rPr>
              <w:t>7.</w:t>
            </w:r>
            <w:r w:rsidRPr="006C4611"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6C4611">
              <w:rPr>
                <w:rStyle w:val="Hyperlink"/>
                <w:noProof/>
              </w:rPr>
              <w:t>ORGANIZACIJSKA STRUKTURA</w:t>
            </w:r>
            <w:r w:rsidRPr="006C4611">
              <w:rPr>
                <w:noProof/>
                <w:webHidden/>
              </w:rPr>
              <w:tab/>
            </w:r>
            <w:r w:rsidRPr="006C4611">
              <w:rPr>
                <w:noProof/>
                <w:webHidden/>
              </w:rPr>
              <w:fldChar w:fldCharType="begin"/>
            </w:r>
            <w:r w:rsidRPr="006C4611">
              <w:rPr>
                <w:noProof/>
                <w:webHidden/>
              </w:rPr>
              <w:instrText xml:space="preserve"> PAGEREF _Toc213328499 \h </w:instrText>
            </w:r>
            <w:r w:rsidRPr="006C4611">
              <w:rPr>
                <w:noProof/>
                <w:webHidden/>
              </w:rPr>
            </w:r>
            <w:r w:rsidRPr="006C4611">
              <w:rPr>
                <w:noProof/>
                <w:webHidden/>
              </w:rPr>
              <w:fldChar w:fldCharType="separate"/>
            </w:r>
            <w:r w:rsidRPr="006C4611">
              <w:rPr>
                <w:noProof/>
                <w:webHidden/>
              </w:rPr>
              <w:t>7</w:t>
            </w:r>
            <w:r w:rsidRPr="006C4611">
              <w:rPr>
                <w:noProof/>
                <w:webHidden/>
              </w:rPr>
              <w:fldChar w:fldCharType="end"/>
            </w:r>
          </w:hyperlink>
        </w:p>
        <w:p w14:paraId="11D25807" w14:textId="03F1356D" w:rsidR="004E06E2" w:rsidRPr="006C4611" w:rsidRDefault="004E06E2">
          <w:pPr>
            <w:pStyle w:val="TOC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213328500" w:history="1">
            <w:r w:rsidRPr="006C4611">
              <w:rPr>
                <w:rStyle w:val="Hyperlink"/>
                <w:noProof/>
              </w:rPr>
              <w:t>8.</w:t>
            </w:r>
            <w:r w:rsidRPr="006C4611"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6C4611">
              <w:rPr>
                <w:rStyle w:val="Hyperlink"/>
                <w:noProof/>
              </w:rPr>
              <w:t>SWOT ANALIZA</w:t>
            </w:r>
            <w:r w:rsidRPr="006C4611">
              <w:rPr>
                <w:noProof/>
                <w:webHidden/>
              </w:rPr>
              <w:tab/>
            </w:r>
            <w:r w:rsidRPr="006C4611">
              <w:rPr>
                <w:noProof/>
                <w:webHidden/>
              </w:rPr>
              <w:fldChar w:fldCharType="begin"/>
            </w:r>
            <w:r w:rsidRPr="006C4611">
              <w:rPr>
                <w:noProof/>
                <w:webHidden/>
              </w:rPr>
              <w:instrText xml:space="preserve"> PAGEREF _Toc213328500 \h </w:instrText>
            </w:r>
            <w:r w:rsidRPr="006C4611">
              <w:rPr>
                <w:noProof/>
                <w:webHidden/>
              </w:rPr>
            </w:r>
            <w:r w:rsidRPr="006C4611">
              <w:rPr>
                <w:noProof/>
                <w:webHidden/>
              </w:rPr>
              <w:fldChar w:fldCharType="separate"/>
            </w:r>
            <w:r w:rsidRPr="006C4611">
              <w:rPr>
                <w:noProof/>
                <w:webHidden/>
              </w:rPr>
              <w:t>8</w:t>
            </w:r>
            <w:r w:rsidRPr="006C4611">
              <w:rPr>
                <w:noProof/>
                <w:webHidden/>
              </w:rPr>
              <w:fldChar w:fldCharType="end"/>
            </w:r>
          </w:hyperlink>
        </w:p>
        <w:p w14:paraId="4D87B8C4" w14:textId="7C6141F7" w:rsidR="004E06E2" w:rsidRPr="006C4611" w:rsidRDefault="004E06E2">
          <w:pPr>
            <w:pStyle w:val="TOC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213328501" w:history="1">
            <w:r w:rsidRPr="006C4611">
              <w:rPr>
                <w:rStyle w:val="Hyperlink"/>
                <w:noProof/>
              </w:rPr>
              <w:t>9.</w:t>
            </w:r>
            <w:r w:rsidRPr="006C4611"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6C4611">
              <w:rPr>
                <w:rStyle w:val="Hyperlink"/>
                <w:noProof/>
              </w:rPr>
              <w:t>PLANIRANE AKTIVNOSTI U 2026. GODINI</w:t>
            </w:r>
            <w:r w:rsidRPr="006C4611">
              <w:rPr>
                <w:noProof/>
                <w:webHidden/>
              </w:rPr>
              <w:tab/>
            </w:r>
            <w:r w:rsidRPr="006C4611">
              <w:rPr>
                <w:noProof/>
                <w:webHidden/>
              </w:rPr>
              <w:fldChar w:fldCharType="begin"/>
            </w:r>
            <w:r w:rsidRPr="006C4611">
              <w:rPr>
                <w:noProof/>
                <w:webHidden/>
              </w:rPr>
              <w:instrText xml:space="preserve"> PAGEREF _Toc213328501 \h </w:instrText>
            </w:r>
            <w:r w:rsidRPr="006C4611">
              <w:rPr>
                <w:noProof/>
                <w:webHidden/>
              </w:rPr>
            </w:r>
            <w:r w:rsidRPr="006C4611">
              <w:rPr>
                <w:noProof/>
                <w:webHidden/>
              </w:rPr>
              <w:fldChar w:fldCharType="separate"/>
            </w:r>
            <w:r w:rsidRPr="006C4611">
              <w:rPr>
                <w:noProof/>
                <w:webHidden/>
              </w:rPr>
              <w:t>9</w:t>
            </w:r>
            <w:r w:rsidRPr="006C4611">
              <w:rPr>
                <w:noProof/>
                <w:webHidden/>
              </w:rPr>
              <w:fldChar w:fldCharType="end"/>
            </w:r>
          </w:hyperlink>
        </w:p>
        <w:p w14:paraId="6AC82831" w14:textId="5E2F36AC" w:rsidR="004E06E2" w:rsidRPr="006C4611" w:rsidRDefault="004E06E2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213328502" w:history="1">
            <w:r w:rsidRPr="006C4611">
              <w:rPr>
                <w:rStyle w:val="Hyperlink"/>
                <w:noProof/>
              </w:rPr>
              <w:t>9.1.</w:t>
            </w:r>
            <w:r w:rsidRPr="006C4611"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6C4611">
              <w:rPr>
                <w:rStyle w:val="Hyperlink"/>
                <w:noProof/>
              </w:rPr>
              <w:t>Priprema i provedba razvojnih projekata</w:t>
            </w:r>
            <w:r w:rsidRPr="006C4611">
              <w:rPr>
                <w:noProof/>
                <w:webHidden/>
              </w:rPr>
              <w:tab/>
            </w:r>
            <w:r w:rsidRPr="006C4611">
              <w:rPr>
                <w:noProof/>
                <w:webHidden/>
              </w:rPr>
              <w:fldChar w:fldCharType="begin"/>
            </w:r>
            <w:r w:rsidRPr="006C4611">
              <w:rPr>
                <w:noProof/>
                <w:webHidden/>
              </w:rPr>
              <w:instrText xml:space="preserve"> PAGEREF _Toc213328502 \h </w:instrText>
            </w:r>
            <w:r w:rsidRPr="006C4611">
              <w:rPr>
                <w:noProof/>
                <w:webHidden/>
              </w:rPr>
            </w:r>
            <w:r w:rsidRPr="006C4611">
              <w:rPr>
                <w:noProof/>
                <w:webHidden/>
              </w:rPr>
              <w:fldChar w:fldCharType="separate"/>
            </w:r>
            <w:r w:rsidRPr="006C4611">
              <w:rPr>
                <w:noProof/>
                <w:webHidden/>
              </w:rPr>
              <w:t>9</w:t>
            </w:r>
            <w:r w:rsidRPr="006C4611">
              <w:rPr>
                <w:noProof/>
                <w:webHidden/>
              </w:rPr>
              <w:fldChar w:fldCharType="end"/>
            </w:r>
          </w:hyperlink>
        </w:p>
        <w:p w14:paraId="1BBADCB5" w14:textId="4D7754D0" w:rsidR="004E06E2" w:rsidRPr="006C4611" w:rsidRDefault="004E06E2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213328503" w:history="1">
            <w:r w:rsidRPr="006C4611">
              <w:rPr>
                <w:rStyle w:val="Hyperlink"/>
                <w:noProof/>
              </w:rPr>
              <w:t>9.2.</w:t>
            </w:r>
            <w:r w:rsidRPr="006C4611"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6C4611">
              <w:rPr>
                <w:rStyle w:val="Hyperlink"/>
                <w:noProof/>
              </w:rPr>
              <w:t>Promocija Općine Tovarnik, Općine Tompojevci, Općine Tordinci, Općine Lovas, Općine Stari Jankovci, Grada Iloka (lokalne zajednice)</w:t>
            </w:r>
            <w:r w:rsidRPr="006C4611">
              <w:rPr>
                <w:noProof/>
                <w:webHidden/>
              </w:rPr>
              <w:tab/>
            </w:r>
            <w:r w:rsidRPr="006C4611">
              <w:rPr>
                <w:noProof/>
                <w:webHidden/>
              </w:rPr>
              <w:fldChar w:fldCharType="begin"/>
            </w:r>
            <w:r w:rsidRPr="006C4611">
              <w:rPr>
                <w:noProof/>
                <w:webHidden/>
              </w:rPr>
              <w:instrText xml:space="preserve"> PAGEREF _Toc213328503 \h </w:instrText>
            </w:r>
            <w:r w:rsidRPr="006C4611">
              <w:rPr>
                <w:noProof/>
                <w:webHidden/>
              </w:rPr>
            </w:r>
            <w:r w:rsidRPr="006C4611">
              <w:rPr>
                <w:noProof/>
                <w:webHidden/>
              </w:rPr>
              <w:fldChar w:fldCharType="separate"/>
            </w:r>
            <w:r w:rsidRPr="006C4611">
              <w:rPr>
                <w:noProof/>
                <w:webHidden/>
              </w:rPr>
              <w:t>10</w:t>
            </w:r>
            <w:r w:rsidRPr="006C4611">
              <w:rPr>
                <w:noProof/>
                <w:webHidden/>
              </w:rPr>
              <w:fldChar w:fldCharType="end"/>
            </w:r>
          </w:hyperlink>
        </w:p>
        <w:p w14:paraId="6AB1DDCC" w14:textId="1BAF5908" w:rsidR="004E06E2" w:rsidRPr="006C4611" w:rsidRDefault="004E06E2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213328504" w:history="1">
            <w:r w:rsidRPr="006C4611">
              <w:rPr>
                <w:rStyle w:val="Hyperlink"/>
                <w:noProof/>
              </w:rPr>
              <w:t>9.3.</w:t>
            </w:r>
            <w:r w:rsidRPr="006C4611"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6C4611">
              <w:rPr>
                <w:rStyle w:val="Hyperlink"/>
                <w:noProof/>
              </w:rPr>
              <w:t>Stvaranje lokalnih mreža</w:t>
            </w:r>
            <w:r w:rsidRPr="006C4611">
              <w:rPr>
                <w:noProof/>
                <w:webHidden/>
              </w:rPr>
              <w:tab/>
            </w:r>
            <w:r w:rsidRPr="006C4611">
              <w:rPr>
                <w:noProof/>
                <w:webHidden/>
              </w:rPr>
              <w:fldChar w:fldCharType="begin"/>
            </w:r>
            <w:r w:rsidRPr="006C4611">
              <w:rPr>
                <w:noProof/>
                <w:webHidden/>
              </w:rPr>
              <w:instrText xml:space="preserve"> PAGEREF _Toc213328504 \h </w:instrText>
            </w:r>
            <w:r w:rsidRPr="006C4611">
              <w:rPr>
                <w:noProof/>
                <w:webHidden/>
              </w:rPr>
            </w:r>
            <w:r w:rsidRPr="006C4611">
              <w:rPr>
                <w:noProof/>
                <w:webHidden/>
              </w:rPr>
              <w:fldChar w:fldCharType="separate"/>
            </w:r>
            <w:r w:rsidRPr="006C4611">
              <w:rPr>
                <w:noProof/>
                <w:webHidden/>
              </w:rPr>
              <w:t>10</w:t>
            </w:r>
            <w:r w:rsidRPr="006C4611">
              <w:rPr>
                <w:noProof/>
                <w:webHidden/>
              </w:rPr>
              <w:fldChar w:fldCharType="end"/>
            </w:r>
          </w:hyperlink>
        </w:p>
        <w:p w14:paraId="4496D757" w14:textId="187CE6F7" w:rsidR="004E06E2" w:rsidRPr="006C4611" w:rsidRDefault="004E06E2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213328505" w:history="1">
            <w:r w:rsidRPr="006C4611">
              <w:rPr>
                <w:rStyle w:val="Hyperlink"/>
                <w:noProof/>
              </w:rPr>
              <w:t>9.4.</w:t>
            </w:r>
            <w:r w:rsidRPr="006C4611"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6C4611">
              <w:rPr>
                <w:rStyle w:val="Hyperlink"/>
                <w:noProof/>
              </w:rPr>
              <w:t>Pružanje tehničke pomoći lokalnim vlastima u izradi projektnih prijedloga za financiranje kroz fondove EU i dr.</w:t>
            </w:r>
            <w:r w:rsidRPr="006C4611">
              <w:rPr>
                <w:noProof/>
                <w:webHidden/>
              </w:rPr>
              <w:tab/>
            </w:r>
            <w:r w:rsidRPr="006C4611">
              <w:rPr>
                <w:noProof/>
                <w:webHidden/>
              </w:rPr>
              <w:fldChar w:fldCharType="begin"/>
            </w:r>
            <w:r w:rsidRPr="006C4611">
              <w:rPr>
                <w:noProof/>
                <w:webHidden/>
              </w:rPr>
              <w:instrText xml:space="preserve"> PAGEREF _Toc213328505 \h </w:instrText>
            </w:r>
            <w:r w:rsidRPr="006C4611">
              <w:rPr>
                <w:noProof/>
                <w:webHidden/>
              </w:rPr>
            </w:r>
            <w:r w:rsidRPr="006C4611">
              <w:rPr>
                <w:noProof/>
                <w:webHidden/>
              </w:rPr>
              <w:fldChar w:fldCharType="separate"/>
            </w:r>
            <w:r w:rsidRPr="006C4611">
              <w:rPr>
                <w:noProof/>
                <w:webHidden/>
              </w:rPr>
              <w:t>11</w:t>
            </w:r>
            <w:r w:rsidRPr="006C4611">
              <w:rPr>
                <w:noProof/>
                <w:webHidden/>
              </w:rPr>
              <w:fldChar w:fldCharType="end"/>
            </w:r>
          </w:hyperlink>
        </w:p>
        <w:p w14:paraId="69D00496" w14:textId="68A2831C" w:rsidR="004E06E2" w:rsidRPr="006C4611" w:rsidRDefault="004E06E2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213328506" w:history="1">
            <w:r w:rsidRPr="006C4611">
              <w:rPr>
                <w:rStyle w:val="Hyperlink"/>
                <w:noProof/>
              </w:rPr>
              <w:t>9.5.</w:t>
            </w:r>
            <w:r w:rsidRPr="006C4611"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6C4611">
              <w:rPr>
                <w:rStyle w:val="Hyperlink"/>
                <w:noProof/>
              </w:rPr>
              <w:t>Izrada studije izvedivosti, poslovnih planova i investicijskih elaborata</w:t>
            </w:r>
            <w:r w:rsidRPr="006C4611">
              <w:rPr>
                <w:noProof/>
                <w:webHidden/>
              </w:rPr>
              <w:tab/>
            </w:r>
            <w:r w:rsidRPr="006C4611">
              <w:rPr>
                <w:noProof/>
                <w:webHidden/>
              </w:rPr>
              <w:fldChar w:fldCharType="begin"/>
            </w:r>
            <w:r w:rsidRPr="006C4611">
              <w:rPr>
                <w:noProof/>
                <w:webHidden/>
              </w:rPr>
              <w:instrText xml:space="preserve"> PAGEREF _Toc213328506 \h </w:instrText>
            </w:r>
            <w:r w:rsidRPr="006C4611">
              <w:rPr>
                <w:noProof/>
                <w:webHidden/>
              </w:rPr>
            </w:r>
            <w:r w:rsidRPr="006C4611">
              <w:rPr>
                <w:noProof/>
                <w:webHidden/>
              </w:rPr>
              <w:fldChar w:fldCharType="separate"/>
            </w:r>
            <w:r w:rsidRPr="006C4611">
              <w:rPr>
                <w:noProof/>
                <w:webHidden/>
              </w:rPr>
              <w:t>11</w:t>
            </w:r>
            <w:r w:rsidRPr="006C4611">
              <w:rPr>
                <w:noProof/>
                <w:webHidden/>
              </w:rPr>
              <w:fldChar w:fldCharType="end"/>
            </w:r>
          </w:hyperlink>
        </w:p>
        <w:p w14:paraId="6C4CE27B" w14:textId="5D38B7FE" w:rsidR="004E06E2" w:rsidRPr="006C4611" w:rsidRDefault="004E06E2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213328507" w:history="1">
            <w:r w:rsidRPr="006C4611">
              <w:rPr>
                <w:rStyle w:val="Hyperlink"/>
                <w:noProof/>
              </w:rPr>
              <w:t>9.6.</w:t>
            </w:r>
            <w:r w:rsidRPr="006C4611"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6C4611">
              <w:rPr>
                <w:rStyle w:val="Hyperlink"/>
                <w:noProof/>
              </w:rPr>
              <w:t>Priprema i provedba programa i mehanizama (mehanizam za oporavak, ITU mehanizam i sl.)</w:t>
            </w:r>
            <w:r w:rsidRPr="006C4611">
              <w:rPr>
                <w:noProof/>
                <w:webHidden/>
              </w:rPr>
              <w:tab/>
            </w:r>
            <w:r w:rsidRPr="006C4611">
              <w:rPr>
                <w:noProof/>
                <w:webHidden/>
              </w:rPr>
              <w:fldChar w:fldCharType="begin"/>
            </w:r>
            <w:r w:rsidRPr="006C4611">
              <w:rPr>
                <w:noProof/>
                <w:webHidden/>
              </w:rPr>
              <w:instrText xml:space="preserve"> PAGEREF _Toc213328507 \h </w:instrText>
            </w:r>
            <w:r w:rsidRPr="006C4611">
              <w:rPr>
                <w:noProof/>
                <w:webHidden/>
              </w:rPr>
            </w:r>
            <w:r w:rsidRPr="006C4611">
              <w:rPr>
                <w:noProof/>
                <w:webHidden/>
              </w:rPr>
              <w:fldChar w:fldCharType="separate"/>
            </w:r>
            <w:r w:rsidRPr="006C4611">
              <w:rPr>
                <w:noProof/>
                <w:webHidden/>
              </w:rPr>
              <w:t>11</w:t>
            </w:r>
            <w:r w:rsidRPr="006C4611">
              <w:rPr>
                <w:noProof/>
                <w:webHidden/>
              </w:rPr>
              <w:fldChar w:fldCharType="end"/>
            </w:r>
          </w:hyperlink>
        </w:p>
        <w:p w14:paraId="5C99696A" w14:textId="28F3ECE9" w:rsidR="004E06E2" w:rsidRPr="006C4611" w:rsidRDefault="004E06E2">
          <w:pPr>
            <w:pStyle w:val="TOC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213328508" w:history="1">
            <w:r w:rsidRPr="006C4611">
              <w:rPr>
                <w:rStyle w:val="Hyperlink"/>
                <w:noProof/>
              </w:rPr>
              <w:t>10.</w:t>
            </w:r>
            <w:r w:rsidRPr="006C4611"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6C4611">
              <w:rPr>
                <w:rStyle w:val="Hyperlink"/>
                <w:noProof/>
              </w:rPr>
              <w:t>POPIS PRIORITETA DJELOVANJA U PODRUČJU NADLEŽNOSTI</w:t>
            </w:r>
            <w:r w:rsidRPr="006C4611">
              <w:rPr>
                <w:noProof/>
                <w:webHidden/>
              </w:rPr>
              <w:tab/>
            </w:r>
            <w:r w:rsidRPr="006C4611">
              <w:rPr>
                <w:noProof/>
                <w:webHidden/>
              </w:rPr>
              <w:fldChar w:fldCharType="begin"/>
            </w:r>
            <w:r w:rsidRPr="006C4611">
              <w:rPr>
                <w:noProof/>
                <w:webHidden/>
              </w:rPr>
              <w:instrText xml:space="preserve"> PAGEREF _Toc213328508 \h </w:instrText>
            </w:r>
            <w:r w:rsidRPr="006C4611">
              <w:rPr>
                <w:noProof/>
                <w:webHidden/>
              </w:rPr>
            </w:r>
            <w:r w:rsidRPr="006C4611">
              <w:rPr>
                <w:noProof/>
                <w:webHidden/>
              </w:rPr>
              <w:fldChar w:fldCharType="separate"/>
            </w:r>
            <w:r w:rsidRPr="006C4611">
              <w:rPr>
                <w:noProof/>
                <w:webHidden/>
              </w:rPr>
              <w:t>12</w:t>
            </w:r>
            <w:r w:rsidRPr="006C4611">
              <w:rPr>
                <w:noProof/>
                <w:webHidden/>
              </w:rPr>
              <w:fldChar w:fldCharType="end"/>
            </w:r>
          </w:hyperlink>
        </w:p>
        <w:p w14:paraId="046DF488" w14:textId="60A005C1" w:rsidR="004E06E2" w:rsidRPr="006C4611" w:rsidRDefault="004E06E2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213328509" w:history="1">
            <w:r w:rsidRPr="006C4611">
              <w:rPr>
                <w:rStyle w:val="Hyperlink"/>
                <w:noProof/>
              </w:rPr>
              <w:t>10.1. Planirane mjere i aktivnosti u 2026. godini</w:t>
            </w:r>
            <w:r w:rsidRPr="006C4611">
              <w:rPr>
                <w:noProof/>
                <w:webHidden/>
              </w:rPr>
              <w:tab/>
            </w:r>
            <w:r w:rsidRPr="006C4611">
              <w:rPr>
                <w:noProof/>
                <w:webHidden/>
              </w:rPr>
              <w:fldChar w:fldCharType="begin"/>
            </w:r>
            <w:r w:rsidRPr="006C4611">
              <w:rPr>
                <w:noProof/>
                <w:webHidden/>
              </w:rPr>
              <w:instrText xml:space="preserve"> PAGEREF _Toc213328509 \h </w:instrText>
            </w:r>
            <w:r w:rsidRPr="006C4611">
              <w:rPr>
                <w:noProof/>
                <w:webHidden/>
              </w:rPr>
            </w:r>
            <w:r w:rsidRPr="006C4611">
              <w:rPr>
                <w:noProof/>
                <w:webHidden/>
              </w:rPr>
              <w:fldChar w:fldCharType="separate"/>
            </w:r>
            <w:r w:rsidRPr="006C4611">
              <w:rPr>
                <w:noProof/>
                <w:webHidden/>
              </w:rPr>
              <w:t>13</w:t>
            </w:r>
            <w:r w:rsidRPr="006C4611">
              <w:rPr>
                <w:noProof/>
                <w:webHidden/>
              </w:rPr>
              <w:fldChar w:fldCharType="end"/>
            </w:r>
          </w:hyperlink>
        </w:p>
        <w:p w14:paraId="094AC3E6" w14:textId="6D5D6D5B" w:rsidR="004E06E2" w:rsidRPr="006C4611" w:rsidRDefault="004E06E2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213328510" w:history="1">
            <w:r w:rsidRPr="006C4611">
              <w:rPr>
                <w:rStyle w:val="Hyperlink"/>
                <w:noProof/>
              </w:rPr>
              <w:t>10.2. Operativni cilj</w:t>
            </w:r>
            <w:r w:rsidRPr="006C4611">
              <w:rPr>
                <w:noProof/>
                <w:webHidden/>
              </w:rPr>
              <w:tab/>
            </w:r>
            <w:r w:rsidRPr="006C4611">
              <w:rPr>
                <w:noProof/>
                <w:webHidden/>
              </w:rPr>
              <w:fldChar w:fldCharType="begin"/>
            </w:r>
            <w:r w:rsidRPr="006C4611">
              <w:rPr>
                <w:noProof/>
                <w:webHidden/>
              </w:rPr>
              <w:instrText xml:space="preserve"> PAGEREF _Toc213328510 \h </w:instrText>
            </w:r>
            <w:r w:rsidRPr="006C4611">
              <w:rPr>
                <w:noProof/>
                <w:webHidden/>
              </w:rPr>
            </w:r>
            <w:r w:rsidRPr="006C4611">
              <w:rPr>
                <w:noProof/>
                <w:webHidden/>
              </w:rPr>
              <w:fldChar w:fldCharType="separate"/>
            </w:r>
            <w:r w:rsidRPr="006C4611">
              <w:rPr>
                <w:noProof/>
                <w:webHidden/>
              </w:rPr>
              <w:t>15</w:t>
            </w:r>
            <w:r w:rsidRPr="006C4611">
              <w:rPr>
                <w:noProof/>
                <w:webHidden/>
              </w:rPr>
              <w:fldChar w:fldCharType="end"/>
            </w:r>
          </w:hyperlink>
        </w:p>
        <w:p w14:paraId="5DAFDA89" w14:textId="144A14C4" w:rsidR="00DE5731" w:rsidRPr="006C4611" w:rsidRDefault="00DE5731">
          <w:pPr>
            <w:rPr>
              <w:rFonts w:cs="Times New Roman"/>
            </w:rPr>
          </w:pPr>
          <w:r w:rsidRPr="006C4611">
            <w:rPr>
              <w:rFonts w:cs="Times New Roman"/>
              <w:b/>
              <w:bCs/>
            </w:rPr>
            <w:fldChar w:fldCharType="end"/>
          </w:r>
        </w:p>
      </w:sdtContent>
    </w:sdt>
    <w:p w14:paraId="3B56576B" w14:textId="77777777" w:rsidR="00DE5731" w:rsidRPr="006C4611" w:rsidRDefault="00DE5731">
      <w:pPr>
        <w:rPr>
          <w:rFonts w:cs="Times New Roman"/>
          <w:szCs w:val="24"/>
        </w:rPr>
        <w:sectPr w:rsidR="00DE5731" w:rsidRPr="006C4611" w:rsidSect="00162103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D2BC92" w14:textId="0335AFD2" w:rsidR="002B3977" w:rsidRPr="006C4611" w:rsidRDefault="002B3977" w:rsidP="002B3977">
      <w:pPr>
        <w:pStyle w:val="Heading1"/>
        <w:numPr>
          <w:ilvl w:val="0"/>
          <w:numId w:val="0"/>
        </w:numPr>
        <w:ind w:left="720" w:hanging="360"/>
      </w:pPr>
      <w:bookmarkStart w:id="1" w:name="_Toc213328492"/>
      <w:r w:rsidRPr="006C4611">
        <w:lastRenderedPageBreak/>
        <w:t>PREDGOVOR</w:t>
      </w:r>
      <w:bookmarkEnd w:id="1"/>
    </w:p>
    <w:p w14:paraId="3919520F" w14:textId="226C4C82" w:rsidR="002B3977" w:rsidRPr="006C4611" w:rsidRDefault="00B03681" w:rsidP="002B3977">
      <w:r w:rsidRPr="006C4611">
        <w:drawing>
          <wp:anchor distT="0" distB="0" distL="114300" distR="114300" simplePos="0" relativeHeight="251658240" behindDoc="0" locked="0" layoutInCell="1" allowOverlap="1" wp14:anchorId="3416040F" wp14:editId="15A4050B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1565230" cy="1905000"/>
            <wp:effectExtent l="0" t="0" r="0" b="0"/>
            <wp:wrapSquare wrapText="bothSides"/>
            <wp:docPr id="14166453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645389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23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3977" w:rsidRPr="006C4611">
        <w:t xml:space="preserve">Razvojna agencija TINTL nastavlja i u 2026. godini provoditi aktivnosti usmjerene na daljnji gospodarski, društveni i infrastrukturni razvoj područja svojih </w:t>
      </w:r>
      <w:r w:rsidRPr="006C4611">
        <w:t>članova/</w:t>
      </w:r>
      <w:r w:rsidR="002B3977" w:rsidRPr="006C4611">
        <w:t>osnivača – općina Tompojevci, Tovarnik, Tordinci, Stari Jankovci i Lovas. Polazeći od svoje misije i vizije, Agencija će i dalje djelovati kao pokretač održivog razvoja, promicatelj poduzetništva te partner javnim institucijama, udrugama i poduzetnicima u stvaranju boljih uvjeta za život i rad u ruralnim sredinama.</w:t>
      </w:r>
    </w:p>
    <w:p w14:paraId="1B6DE47E" w14:textId="77777777" w:rsidR="002B3977" w:rsidRPr="006C4611" w:rsidRDefault="002B3977" w:rsidP="002B3977">
      <w:r w:rsidRPr="006C4611">
        <w:t>S posebnim naglaskom na razvoj ljudskih potencijala, jačanje lokalnih kapaciteta i povećanje dostupnosti sredstava iz nacionalnih i europskih fondova, Agencija će tijekom 2026. godine nastaviti pružati stručnu podršku u pripremi i provedbi razvojnih projekata koji doprinose zapošljavanju, demografskoj obnovi i podizanju kvalitete života stanovnika TINTL područja.</w:t>
      </w:r>
    </w:p>
    <w:p w14:paraId="61E3747D" w14:textId="77777777" w:rsidR="002B3977" w:rsidRPr="006C4611" w:rsidRDefault="002B3977" w:rsidP="002B3977">
      <w:r w:rsidRPr="006C4611">
        <w:t>Kroz suradnju s lokalnim samoupravama, obrazovnim institucijama, civilnim sektorom i gospodarskim subjektima, cilj nam je dodatno unaprijediti prepoznatljivost i konkurentnost našeg područja te poticati ulaganja koja stvaraju nove vrijednosti i radna mjesta.</w:t>
      </w:r>
    </w:p>
    <w:p w14:paraId="6DF8BA85" w14:textId="77777777" w:rsidR="002B3977" w:rsidRPr="006C4611" w:rsidRDefault="002B3977" w:rsidP="002B3977">
      <w:r w:rsidRPr="006C4611">
        <w:t>Plan rada za 2026. godinu dinamičan je dokument koji će se prilagođavati aktualnim okolnostima i potrebama zajednice, osobito u dijelu provedbe projekata financiranih iz sredstava Europske unije. Na taj način Agencija TINTL nastavlja graditi svoju ulogu kao značajna razvojna institucija Vukovarsko-srijemske županije, usmjerena na gospodarski, poduzetnički i društveni napredak naših općina i cijele regije.</w:t>
      </w:r>
    </w:p>
    <w:p w14:paraId="40C338F2" w14:textId="36884F12" w:rsidR="002B3977" w:rsidRPr="006C4611" w:rsidRDefault="00E07033" w:rsidP="002B3977">
      <w:r w:rsidRPr="006C4611">
        <w:t>Albert Varga</w:t>
      </w:r>
    </w:p>
    <w:p w14:paraId="21DCA9AE" w14:textId="3D8FBE5E" w:rsidR="00E07033" w:rsidRPr="006C4611" w:rsidRDefault="00E07033" w:rsidP="002B3977">
      <w:r w:rsidRPr="006C4611">
        <w:t>Ravnatelj Razvojne agencije TINTL</w:t>
      </w:r>
    </w:p>
    <w:p w14:paraId="09B18A7C" w14:textId="77777777" w:rsidR="002B3977" w:rsidRPr="006C4611" w:rsidRDefault="002B3977" w:rsidP="002B3977"/>
    <w:p w14:paraId="171008CD" w14:textId="77777777" w:rsidR="002B3977" w:rsidRPr="006C4611" w:rsidRDefault="002B3977">
      <w:pPr>
        <w:spacing w:line="259" w:lineRule="auto"/>
        <w:jc w:val="left"/>
        <w:rPr>
          <w:rFonts w:cs="Times New Roman"/>
          <w:b/>
          <w:bCs/>
          <w:szCs w:val="24"/>
        </w:rPr>
      </w:pPr>
      <w:r w:rsidRPr="006C4611">
        <w:br w:type="page"/>
      </w:r>
    </w:p>
    <w:p w14:paraId="3C0BCA09" w14:textId="77777777" w:rsidR="002B3977" w:rsidRPr="006C4611" w:rsidRDefault="002B3977" w:rsidP="002B3977">
      <w:pPr>
        <w:pStyle w:val="Heading1"/>
        <w:numPr>
          <w:ilvl w:val="0"/>
          <w:numId w:val="0"/>
        </w:numPr>
        <w:ind w:left="720"/>
      </w:pPr>
    </w:p>
    <w:p w14:paraId="525CCE2B" w14:textId="40BC7B4B" w:rsidR="00DE5731" w:rsidRPr="006C4611" w:rsidRDefault="00DE5731" w:rsidP="00DE5731">
      <w:pPr>
        <w:pStyle w:val="Heading1"/>
      </w:pPr>
      <w:bookmarkStart w:id="2" w:name="_Toc213328493"/>
      <w:r w:rsidRPr="006C4611">
        <w:t>UVOD</w:t>
      </w:r>
      <w:bookmarkEnd w:id="2"/>
    </w:p>
    <w:p w14:paraId="3C94BB00" w14:textId="77777777" w:rsidR="00E07033" w:rsidRPr="006C4611" w:rsidRDefault="00E07033" w:rsidP="00E07033">
      <w:pPr>
        <w:rPr>
          <w:szCs w:val="24"/>
        </w:rPr>
      </w:pPr>
      <w:r w:rsidRPr="006C4611">
        <w:rPr>
          <w:szCs w:val="24"/>
        </w:rPr>
        <w:t xml:space="preserve">Uputama za izradu godišnjeg plana rada, polugodišnjeg i godišnjeg izvještaja o radu, studeni 2024., koje propisuje Ministarstvo pravosuđa, uprave i digitalne transformacije, propisana je obveza izrade godišnjeg plana rada. </w:t>
      </w:r>
    </w:p>
    <w:p w14:paraId="3962831C" w14:textId="3F630EB9" w:rsidR="00E07033" w:rsidRPr="006C4611" w:rsidRDefault="00E07033" w:rsidP="00E07033">
      <w:pPr>
        <w:rPr>
          <w:szCs w:val="24"/>
        </w:rPr>
      </w:pPr>
      <w:r w:rsidRPr="006C4611">
        <w:rPr>
          <w:szCs w:val="24"/>
        </w:rPr>
        <w:t xml:space="preserve">Godišnji plan rada je plansko - upravljački provedbeni akt s mjerama koje se planiraju ostvariti u Razvojnoj agenciji TINTL  </w:t>
      </w:r>
      <w:r w:rsidRPr="006C4611">
        <w:t xml:space="preserve">(u daljnjem tekstu Agencija)  </w:t>
      </w:r>
      <w:r w:rsidRPr="006C4611">
        <w:rPr>
          <w:szCs w:val="24"/>
        </w:rPr>
        <w:t xml:space="preserve">tokom 2026. godine, a koje su vezane uz: </w:t>
      </w:r>
    </w:p>
    <w:p w14:paraId="134C8B56" w14:textId="1B4D9BA2" w:rsidR="00E07033" w:rsidRPr="006C4611" w:rsidRDefault="00E07033" w:rsidP="00E07033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/>
        <w:contextualSpacing w:val="0"/>
        <w:rPr>
          <w:szCs w:val="24"/>
        </w:rPr>
      </w:pPr>
      <w:r w:rsidRPr="006C4611">
        <w:rPr>
          <w:szCs w:val="24"/>
        </w:rPr>
        <w:t xml:space="preserve">Djelokrug i organizaciju rada Agencije, </w:t>
      </w:r>
    </w:p>
    <w:p w14:paraId="7A8A24A0" w14:textId="5877455B" w:rsidR="00E07033" w:rsidRPr="006C4611" w:rsidRDefault="00E07033" w:rsidP="00E07033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/>
        <w:contextualSpacing w:val="0"/>
        <w:rPr>
          <w:szCs w:val="24"/>
        </w:rPr>
      </w:pPr>
      <w:r w:rsidRPr="006C4611">
        <w:rPr>
          <w:szCs w:val="24"/>
        </w:rPr>
        <w:t>Posebne ciljeve i mjere,</w:t>
      </w:r>
    </w:p>
    <w:p w14:paraId="20AC0BC8" w14:textId="2544FC3A" w:rsidR="00E07033" w:rsidRPr="006C4611" w:rsidRDefault="00E07033" w:rsidP="00E07033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/>
        <w:contextualSpacing w:val="0"/>
        <w:rPr>
          <w:szCs w:val="24"/>
        </w:rPr>
      </w:pPr>
      <w:r w:rsidRPr="006C4611">
        <w:rPr>
          <w:szCs w:val="24"/>
        </w:rPr>
        <w:t>Osigurana sredstva u proračunu i druge raspoložive resurse.</w:t>
      </w:r>
    </w:p>
    <w:p w14:paraId="5498D529" w14:textId="77777777" w:rsidR="00E07033" w:rsidRPr="006C4611" w:rsidRDefault="00E07033" w:rsidP="00E07033">
      <w:pPr>
        <w:pStyle w:val="ListParagraph"/>
        <w:widowControl w:val="0"/>
        <w:autoSpaceDE w:val="0"/>
        <w:autoSpaceDN w:val="0"/>
        <w:spacing w:after="0"/>
        <w:contextualSpacing w:val="0"/>
        <w:rPr>
          <w:szCs w:val="24"/>
        </w:rPr>
      </w:pPr>
    </w:p>
    <w:p w14:paraId="2B5B9F07" w14:textId="53DC3B63" w:rsidR="00DE5731" w:rsidRPr="006C4611" w:rsidRDefault="00DE5731" w:rsidP="00DE5731">
      <w:r w:rsidRPr="006C4611">
        <w:t xml:space="preserve">Razvojna agencija TINTL osnovana je 2018. godine na temelju Sporazuma o osnivanju Razvojne agencije TINLT uz prethodnu suglasnost Općinskog vijeća Općine Tovarnik, Općinskog vijeća Općine Lovas, Općinskog vijeća Općine Tompojevci, Općinskog vijeća Općine Stari Jankovci, Gradskog vijeća Grada Iloka. </w:t>
      </w:r>
      <w:r w:rsidR="00E07033" w:rsidRPr="006C4611">
        <w:t>Osnivači</w:t>
      </w:r>
      <w:r w:rsidRPr="006C4611">
        <w:t xml:space="preserve"> Agencije su Općina Tovarnik, Općina Tompojevci, Općina Lovas, Općina Stari Jankovci i Grad Ilok u jednakim udjelima</w:t>
      </w:r>
      <w:r w:rsidR="00E07033" w:rsidRPr="006C4611">
        <w:t xml:space="preserve">, dok su vlasnici Agencije Općina Tovarnik, Općina Tordinci, Općina Tompojevci, Općina Lovas, Općina Stari Jankovci i Grad Ilok u jednakim udjelima. </w:t>
      </w:r>
      <w:r w:rsidRPr="006C4611">
        <w:t>Sjedište Agencije je u Tovarniku, Antuna Gustava Matoša 2</w:t>
      </w:r>
      <w:r w:rsidR="00E07033" w:rsidRPr="006C4611">
        <w:t>6</w:t>
      </w:r>
      <w:r w:rsidRPr="006C4611">
        <w:t xml:space="preserve">. </w:t>
      </w:r>
    </w:p>
    <w:p w14:paraId="4AD76EFD" w14:textId="77777777" w:rsidR="00E07033" w:rsidRPr="006C4611" w:rsidRDefault="007C0C74" w:rsidP="00DE5731">
      <w:r w:rsidRPr="006C4611">
        <w:t>Godišnjim programom rada Razvojne agencije TINTL daje se pregled djelatnosti Agencije, aktivnosti i projekata koji su započeti u prethodnom razdoblju i koji se nastavljaju tijekom 202</w:t>
      </w:r>
      <w:r w:rsidR="00E07033" w:rsidRPr="006C4611">
        <w:t>6</w:t>
      </w:r>
      <w:r w:rsidRPr="006C4611">
        <w:t>. godine, te se navode aktivnosti i planirani projekti za 202</w:t>
      </w:r>
      <w:r w:rsidR="00E07033" w:rsidRPr="006C4611">
        <w:t>6</w:t>
      </w:r>
      <w:r w:rsidRPr="006C4611">
        <w:t>. godinu.</w:t>
      </w:r>
    </w:p>
    <w:p w14:paraId="68837EE1" w14:textId="391DE498" w:rsidR="007C0C74" w:rsidRPr="006C4611" w:rsidRDefault="007C0C74" w:rsidP="00DE5731">
      <w:r w:rsidRPr="006C4611">
        <w:t xml:space="preserve"> </w:t>
      </w:r>
    </w:p>
    <w:p w14:paraId="2F0AD971" w14:textId="5D9C8FAC" w:rsidR="00DE5731" w:rsidRPr="006C4611" w:rsidRDefault="00DE5731" w:rsidP="007C0C74">
      <w:pPr>
        <w:pStyle w:val="Heading1"/>
      </w:pPr>
      <w:bookmarkStart w:id="3" w:name="_Toc213328494"/>
      <w:r w:rsidRPr="006C4611">
        <w:t>DJELOKRUG RADA AGENCIJE</w:t>
      </w:r>
      <w:bookmarkEnd w:id="3"/>
    </w:p>
    <w:p w14:paraId="5B686996" w14:textId="27C6F4D1" w:rsidR="00DE5731" w:rsidRPr="006C4611" w:rsidRDefault="00DE5731" w:rsidP="00DE5731">
      <w:r w:rsidRPr="006C4611">
        <w:t xml:space="preserve">Agencija obavlja sljedeće djelatnosti: </w:t>
      </w:r>
    </w:p>
    <w:p w14:paraId="2CF7FD2B" w14:textId="457B2404" w:rsidR="00DE5731" w:rsidRPr="006C4611" w:rsidRDefault="007C0C74" w:rsidP="00DE5731">
      <w:pPr>
        <w:pStyle w:val="ListParagraph"/>
        <w:numPr>
          <w:ilvl w:val="0"/>
          <w:numId w:val="6"/>
        </w:numPr>
      </w:pPr>
      <w:r w:rsidRPr="006C4611">
        <w:t xml:space="preserve">Izrada programa i projekata za ubranu i ruralnu sredinu, </w:t>
      </w:r>
    </w:p>
    <w:p w14:paraId="3F30D25C" w14:textId="07F248A2" w:rsidR="007C0C74" w:rsidRPr="006C4611" w:rsidRDefault="007C0C74" w:rsidP="00DE5731">
      <w:pPr>
        <w:pStyle w:val="ListParagraph"/>
        <w:numPr>
          <w:ilvl w:val="0"/>
          <w:numId w:val="6"/>
        </w:numPr>
      </w:pPr>
      <w:r w:rsidRPr="006C4611">
        <w:t xml:space="preserve">Stvaranje lokalnih mreža, </w:t>
      </w:r>
    </w:p>
    <w:p w14:paraId="493A7FDC" w14:textId="4FD0ADA2" w:rsidR="007C0C74" w:rsidRPr="006C4611" w:rsidRDefault="007C0C74" w:rsidP="00DE5731">
      <w:pPr>
        <w:pStyle w:val="ListParagraph"/>
        <w:numPr>
          <w:ilvl w:val="0"/>
          <w:numId w:val="6"/>
        </w:numPr>
      </w:pPr>
      <w:r w:rsidRPr="006C4611">
        <w:t>Promocija Općine Tovarnik, Općine Tompojevci,</w:t>
      </w:r>
      <w:r w:rsidR="00E07033" w:rsidRPr="006C4611">
        <w:t xml:space="preserve"> Općine Tordinci,</w:t>
      </w:r>
      <w:r w:rsidRPr="006C4611">
        <w:t xml:space="preserve"> Općine Lovas, Općine Stari Jankovci, Grada Iloka (lokalne zajednice),</w:t>
      </w:r>
    </w:p>
    <w:p w14:paraId="641FA70B" w14:textId="1AC6BD69" w:rsidR="007C0C74" w:rsidRPr="006C4611" w:rsidRDefault="007C0C74" w:rsidP="00DE5731">
      <w:pPr>
        <w:pStyle w:val="ListParagraph"/>
        <w:numPr>
          <w:ilvl w:val="0"/>
          <w:numId w:val="6"/>
        </w:numPr>
      </w:pPr>
      <w:r w:rsidRPr="006C4611">
        <w:lastRenderedPageBreak/>
        <w:t xml:space="preserve">Potpora razvojnim programima uključujući i javno – privatna partnerstva, direktne investicije, joint-venture inicijative, </w:t>
      </w:r>
    </w:p>
    <w:p w14:paraId="729FB9BD" w14:textId="6DF87C89" w:rsidR="007C0C74" w:rsidRPr="006C4611" w:rsidRDefault="007C0C74" w:rsidP="00DE5731">
      <w:pPr>
        <w:pStyle w:val="ListParagraph"/>
        <w:numPr>
          <w:ilvl w:val="0"/>
          <w:numId w:val="6"/>
        </w:numPr>
      </w:pPr>
      <w:r w:rsidRPr="006C4611">
        <w:t xml:space="preserve">Suradnja sa financijskim institucijama, </w:t>
      </w:r>
    </w:p>
    <w:p w14:paraId="3CC26F3A" w14:textId="06B150CD" w:rsidR="007C0C74" w:rsidRPr="006C4611" w:rsidRDefault="007C0C74" w:rsidP="00DE5731">
      <w:pPr>
        <w:pStyle w:val="ListParagraph"/>
        <w:numPr>
          <w:ilvl w:val="0"/>
          <w:numId w:val="6"/>
        </w:numPr>
      </w:pPr>
      <w:r w:rsidRPr="006C4611">
        <w:t xml:space="preserve">Privlačenje direktnih stranih investicija (FDI – foreign direct investment), </w:t>
      </w:r>
    </w:p>
    <w:p w14:paraId="428608F4" w14:textId="2C55482F" w:rsidR="007C0C74" w:rsidRPr="006C4611" w:rsidRDefault="007C0C74" w:rsidP="00DE5731">
      <w:pPr>
        <w:pStyle w:val="ListParagraph"/>
        <w:numPr>
          <w:ilvl w:val="0"/>
          <w:numId w:val="6"/>
        </w:numPr>
      </w:pPr>
      <w:r w:rsidRPr="006C4611">
        <w:t xml:space="preserve">Izgrađivanje institucionalnih kapaciteta, </w:t>
      </w:r>
    </w:p>
    <w:p w14:paraId="6159AA72" w14:textId="099B9F68" w:rsidR="007C0C74" w:rsidRPr="006C4611" w:rsidRDefault="007C0C74" w:rsidP="00DE5731">
      <w:pPr>
        <w:pStyle w:val="ListParagraph"/>
        <w:numPr>
          <w:ilvl w:val="0"/>
          <w:numId w:val="6"/>
        </w:numPr>
      </w:pPr>
      <w:r w:rsidRPr="006C4611">
        <w:t xml:space="preserve">Pružanje tehničke pomoći lokalnim vlastima u izradi projektnih prijedloga za financiranje kroz fondove EU i dr., </w:t>
      </w:r>
    </w:p>
    <w:p w14:paraId="1D87A815" w14:textId="40A50698" w:rsidR="007C0C74" w:rsidRPr="006C4611" w:rsidRDefault="007C0C74" w:rsidP="007C0C74">
      <w:pPr>
        <w:pStyle w:val="ListParagraph"/>
        <w:numPr>
          <w:ilvl w:val="0"/>
          <w:numId w:val="6"/>
        </w:numPr>
      </w:pPr>
      <w:r w:rsidRPr="006C4611">
        <w:t xml:space="preserve">Ispitivanje tržišta i javnog mijenja, </w:t>
      </w:r>
    </w:p>
    <w:p w14:paraId="51B28673" w14:textId="433B1F55" w:rsidR="007C0C74" w:rsidRPr="006C4611" w:rsidRDefault="007C0C74" w:rsidP="007C0C74">
      <w:pPr>
        <w:pStyle w:val="ListParagraph"/>
        <w:numPr>
          <w:ilvl w:val="0"/>
          <w:numId w:val="6"/>
        </w:numPr>
      </w:pPr>
      <w:r w:rsidRPr="006C4611">
        <w:t xml:space="preserve">Izrada studije izvedivosti, poslovnih planova i investicijskih elaborata, </w:t>
      </w:r>
    </w:p>
    <w:p w14:paraId="4E656C44" w14:textId="3BDB2C21" w:rsidR="007C0C74" w:rsidRPr="006C4611" w:rsidRDefault="007C0C74" w:rsidP="007C0C74">
      <w:pPr>
        <w:pStyle w:val="ListParagraph"/>
        <w:numPr>
          <w:ilvl w:val="0"/>
          <w:numId w:val="6"/>
        </w:numPr>
      </w:pPr>
      <w:r w:rsidRPr="006C4611">
        <w:t xml:space="preserve">Pružanje tehničke i savjetodavne pomoći programa, </w:t>
      </w:r>
    </w:p>
    <w:p w14:paraId="348B21E4" w14:textId="5B5DC79F" w:rsidR="007C0C74" w:rsidRPr="006C4611" w:rsidRDefault="007C0C74" w:rsidP="007C0C74">
      <w:pPr>
        <w:pStyle w:val="ListParagraph"/>
        <w:numPr>
          <w:ilvl w:val="0"/>
          <w:numId w:val="6"/>
        </w:numPr>
      </w:pPr>
      <w:r w:rsidRPr="006C4611">
        <w:t xml:space="preserve">Provođenje specijalističkih edukativnih programa, </w:t>
      </w:r>
    </w:p>
    <w:p w14:paraId="5A5DA15E" w14:textId="61500303" w:rsidR="007C0C74" w:rsidRPr="006C4611" w:rsidRDefault="007C0C74" w:rsidP="007C0C74">
      <w:pPr>
        <w:pStyle w:val="ListParagraph"/>
        <w:numPr>
          <w:ilvl w:val="0"/>
          <w:numId w:val="6"/>
        </w:numPr>
      </w:pPr>
      <w:r w:rsidRPr="006C4611">
        <w:t xml:space="preserve">Promidžba, </w:t>
      </w:r>
    </w:p>
    <w:p w14:paraId="21DA562A" w14:textId="53D4C0FB" w:rsidR="007C0C74" w:rsidRPr="006C4611" w:rsidRDefault="007C0C74" w:rsidP="007C0C74">
      <w:pPr>
        <w:pStyle w:val="ListParagraph"/>
        <w:numPr>
          <w:ilvl w:val="0"/>
          <w:numId w:val="6"/>
        </w:numPr>
      </w:pPr>
      <w:r w:rsidRPr="006C4611">
        <w:t xml:space="preserve">Izrada i ažuriranje strateških planova. </w:t>
      </w:r>
    </w:p>
    <w:p w14:paraId="58F67462" w14:textId="161FCC6E" w:rsidR="000920DD" w:rsidRPr="006C4611" w:rsidRDefault="000920DD" w:rsidP="000920DD">
      <w:r w:rsidRPr="006C4611">
        <w:t>U provođenju navedenih djelatnosti, Agencija zastupa prvenstveno interese svojih osnivača. Pored osnivača, suradnja se proteže i na nevladine organizacije, udruge i ustanove koje imaju potrebu za ovakvom vrstom suradnje, poduzetnike te jedinice lokalne i regionalne samouprave.</w:t>
      </w:r>
    </w:p>
    <w:p w14:paraId="7C3AF37B" w14:textId="03249D3C" w:rsidR="00DE5731" w:rsidRPr="006C4611" w:rsidRDefault="00DE5731" w:rsidP="00DE5731">
      <w:pPr>
        <w:pStyle w:val="Heading1"/>
      </w:pPr>
      <w:bookmarkStart w:id="4" w:name="_Toc213328495"/>
      <w:r w:rsidRPr="006C4611">
        <w:t>MISIJA</w:t>
      </w:r>
      <w:bookmarkEnd w:id="4"/>
    </w:p>
    <w:p w14:paraId="4E942F61" w14:textId="201C1B07" w:rsidR="007C0C74" w:rsidRPr="006C4611" w:rsidRDefault="003E4180" w:rsidP="007C0C74">
      <w:r w:rsidRPr="006C4611">
        <w:t xml:space="preserve">Misija Agencije je promicati održivi razvoj, unaprijediti uvjete za cjeloviti razvoj ruralnog područja TINTL-a, poboljšati kvalitetu življenja i doprinositi očuvanju/stvaranju novih radnih mjesta u ruralnim krajevima, djelovati na privlačenju domaćih i stranih investicija, ostvariti nove i poboljšati postojeće kontakte osnivača s međunarodnim institucijama i organizacijama, pomagati fizičkim i pravnim osobama s područja jedinica lokalne samouprave osnivača u uvjetima globalnog i europskog tržišta. </w:t>
      </w:r>
    </w:p>
    <w:p w14:paraId="4A1E012D" w14:textId="1DF08097" w:rsidR="00DE5731" w:rsidRPr="006C4611" w:rsidRDefault="00DE5731" w:rsidP="00DE5731">
      <w:pPr>
        <w:pStyle w:val="Heading1"/>
      </w:pPr>
      <w:bookmarkStart w:id="5" w:name="_Toc213328496"/>
      <w:r w:rsidRPr="006C4611">
        <w:t>VIZIJA</w:t>
      </w:r>
      <w:bookmarkEnd w:id="5"/>
    </w:p>
    <w:p w14:paraId="79E3A21B" w14:textId="7E3B1C9A" w:rsidR="003E4180" w:rsidRPr="006C4611" w:rsidRDefault="003E4180" w:rsidP="003E4180">
      <w:r w:rsidRPr="006C4611">
        <w:t>Postati</w:t>
      </w:r>
      <w:r w:rsidR="00D9341B" w:rsidRPr="006C4611">
        <w:t>/ostati</w:t>
      </w:r>
      <w:r w:rsidRPr="006C4611">
        <w:t xml:space="preserve"> značajna razvoj</w:t>
      </w:r>
      <w:r w:rsidR="00D9341B" w:rsidRPr="006C4611">
        <w:t>n</w:t>
      </w:r>
      <w:r w:rsidRPr="006C4611">
        <w:t>a agencija na području Vukovarsko-srijemske županije sa ciljem gospodarskog, poduzetničkog i društvenog razvoja na području jedinica lokalnih samouprava osnivača</w:t>
      </w:r>
      <w:r w:rsidR="00D9341B" w:rsidRPr="006C4611">
        <w:t>/članova</w:t>
      </w:r>
      <w:r w:rsidRPr="006C4611">
        <w:t xml:space="preserve">. </w:t>
      </w:r>
    </w:p>
    <w:p w14:paraId="498B5B55" w14:textId="6C4FF988" w:rsidR="003E4180" w:rsidRPr="006C4611" w:rsidRDefault="003E4180" w:rsidP="003E4180">
      <w:r w:rsidRPr="006C4611">
        <w:t xml:space="preserve">Plan rada Agencije će se ažurirati i mijenjati prema potrebi, a poglavito u području provedbe određenih projekata financiranih iz sredstava EU fondova sukladno raspisanim natječajima iz područja djelokruga rada Agencije. </w:t>
      </w:r>
    </w:p>
    <w:p w14:paraId="6B5E4C97" w14:textId="1209EF67" w:rsidR="00E07033" w:rsidRPr="006C4611" w:rsidRDefault="00E07033" w:rsidP="00E07033">
      <w:pPr>
        <w:pStyle w:val="Heading1"/>
      </w:pPr>
      <w:bookmarkStart w:id="6" w:name="_Toc213328497"/>
      <w:r w:rsidRPr="006C4611">
        <w:lastRenderedPageBreak/>
        <w:t>VRIJEDNOSTI</w:t>
      </w:r>
      <w:bookmarkEnd w:id="6"/>
    </w:p>
    <w:p w14:paraId="252A6358" w14:textId="77777777" w:rsidR="00E07033" w:rsidRPr="006C4611" w:rsidRDefault="00E07033" w:rsidP="00E07033">
      <w:pPr>
        <w:pStyle w:val="NormalWeb"/>
        <w:numPr>
          <w:ilvl w:val="0"/>
          <w:numId w:val="14"/>
        </w:numPr>
        <w:spacing w:line="360" w:lineRule="auto"/>
        <w:jc w:val="both"/>
      </w:pPr>
      <w:r w:rsidRPr="006C4611">
        <w:rPr>
          <w:rStyle w:val="Strong"/>
        </w:rPr>
        <w:t>Održivost</w:t>
      </w:r>
      <w:r w:rsidRPr="006C4611">
        <w:br/>
        <w:t>Agencija djeluje u skladu s načelima održivog razvoja, promičući ravnotežu između gospodarskog napretka, očuvanja okoliša i kvalitete života stanovnika.</w:t>
      </w:r>
    </w:p>
    <w:p w14:paraId="5B678203" w14:textId="77777777" w:rsidR="00E07033" w:rsidRPr="006C4611" w:rsidRDefault="00E07033" w:rsidP="00E07033">
      <w:pPr>
        <w:pStyle w:val="NormalWeb"/>
        <w:numPr>
          <w:ilvl w:val="0"/>
          <w:numId w:val="14"/>
        </w:numPr>
        <w:spacing w:after="0" w:afterAutospacing="0" w:line="360" w:lineRule="auto"/>
        <w:jc w:val="both"/>
        <w:rPr>
          <w:rStyle w:val="Strong"/>
          <w:b w:val="0"/>
          <w:bCs w:val="0"/>
        </w:rPr>
      </w:pPr>
      <w:r w:rsidRPr="006C4611">
        <w:rPr>
          <w:rStyle w:val="Strong"/>
        </w:rPr>
        <w:t>Suradnja i partnerstvo</w:t>
      </w:r>
    </w:p>
    <w:p w14:paraId="6631E77B" w14:textId="52797831" w:rsidR="00E07033" w:rsidRPr="006C4611" w:rsidRDefault="00E07033" w:rsidP="00E07033">
      <w:pPr>
        <w:pStyle w:val="NormalWeb"/>
        <w:spacing w:line="360" w:lineRule="auto"/>
        <w:ind w:left="720"/>
        <w:jc w:val="both"/>
      </w:pPr>
      <w:r w:rsidRPr="006C4611">
        <w:t>Uspjeh se temelji na suradnji s općinama osnivačima</w:t>
      </w:r>
      <w:r w:rsidR="00D9341B" w:rsidRPr="006C4611">
        <w:t>/članovima</w:t>
      </w:r>
      <w:r w:rsidRPr="006C4611">
        <w:t>, institucijama, udrugama, poduzetnicima i građanima. TINTL njeguje otvoren i partnerski odnos sa svim dionicima razvoja.</w:t>
      </w:r>
    </w:p>
    <w:p w14:paraId="30282559" w14:textId="77777777" w:rsidR="00E07033" w:rsidRPr="006C4611" w:rsidRDefault="00E07033" w:rsidP="00E07033">
      <w:pPr>
        <w:pStyle w:val="NormalWeb"/>
        <w:numPr>
          <w:ilvl w:val="0"/>
          <w:numId w:val="14"/>
        </w:numPr>
        <w:spacing w:line="360" w:lineRule="auto"/>
        <w:jc w:val="both"/>
        <w:rPr>
          <w:rStyle w:val="Strong"/>
          <w:b w:val="0"/>
          <w:bCs w:val="0"/>
        </w:rPr>
      </w:pPr>
      <w:r w:rsidRPr="006C4611">
        <w:rPr>
          <w:rStyle w:val="Strong"/>
        </w:rPr>
        <w:t>Transparentnost i odgovornost</w:t>
      </w:r>
    </w:p>
    <w:p w14:paraId="238A4296" w14:textId="0E56B9F2" w:rsidR="00E07033" w:rsidRPr="006C4611" w:rsidRDefault="00E07033" w:rsidP="00E07033">
      <w:pPr>
        <w:pStyle w:val="NormalWeb"/>
        <w:spacing w:line="360" w:lineRule="auto"/>
        <w:ind w:left="720"/>
        <w:jc w:val="both"/>
      </w:pPr>
      <w:r w:rsidRPr="006C4611">
        <w:t>Agencija posluje na jasan, zakonit i transparentan način, uz odgovorno upravljanje javnim sredstvima i resursima. Povjerenje zajednice temelj je našeg djelovanja.</w:t>
      </w:r>
    </w:p>
    <w:p w14:paraId="3BC626FA" w14:textId="77777777" w:rsidR="00E07033" w:rsidRPr="006C4611" w:rsidRDefault="00E07033" w:rsidP="00E07033">
      <w:pPr>
        <w:pStyle w:val="NormalWeb"/>
        <w:numPr>
          <w:ilvl w:val="0"/>
          <w:numId w:val="14"/>
        </w:numPr>
        <w:spacing w:line="360" w:lineRule="auto"/>
        <w:jc w:val="both"/>
        <w:rPr>
          <w:rStyle w:val="Strong"/>
          <w:b w:val="0"/>
          <w:bCs w:val="0"/>
        </w:rPr>
      </w:pPr>
      <w:r w:rsidRPr="006C4611">
        <w:rPr>
          <w:rStyle w:val="Strong"/>
        </w:rPr>
        <w:t>Stručnost i inovativnost</w:t>
      </w:r>
    </w:p>
    <w:p w14:paraId="0A29335C" w14:textId="3BD2245B" w:rsidR="00E07033" w:rsidRPr="006C4611" w:rsidRDefault="00E07033" w:rsidP="00E07033">
      <w:pPr>
        <w:pStyle w:val="NormalWeb"/>
        <w:spacing w:line="360" w:lineRule="auto"/>
        <w:ind w:left="720"/>
        <w:jc w:val="both"/>
      </w:pPr>
      <w:r w:rsidRPr="006C4611">
        <w:t>TINTL potiče stalno usavršavanje zaposlenika i razvoj novih pristupa u planiranju i provedbi projekata. Kroz stručnost i inovativne metode unapređujemo kvalitetu usluga i razvojnih rješenja.</w:t>
      </w:r>
    </w:p>
    <w:p w14:paraId="79282B18" w14:textId="77777777" w:rsidR="00E07033" w:rsidRPr="006C4611" w:rsidRDefault="00E07033" w:rsidP="00E07033">
      <w:pPr>
        <w:pStyle w:val="NormalWeb"/>
        <w:numPr>
          <w:ilvl w:val="0"/>
          <w:numId w:val="14"/>
        </w:numPr>
        <w:spacing w:line="360" w:lineRule="auto"/>
        <w:jc w:val="both"/>
        <w:rPr>
          <w:rStyle w:val="Strong"/>
          <w:b w:val="0"/>
          <w:bCs w:val="0"/>
        </w:rPr>
      </w:pPr>
      <w:r w:rsidRPr="006C4611">
        <w:rPr>
          <w:rStyle w:val="Strong"/>
        </w:rPr>
        <w:t>Usmjerenost na zajednicu</w:t>
      </w:r>
    </w:p>
    <w:p w14:paraId="69A4131B" w14:textId="150A34DA" w:rsidR="00E07033" w:rsidRPr="006C4611" w:rsidRDefault="00E07033" w:rsidP="00E07033">
      <w:pPr>
        <w:pStyle w:val="NormalWeb"/>
        <w:spacing w:line="360" w:lineRule="auto"/>
        <w:ind w:left="720"/>
        <w:jc w:val="both"/>
      </w:pPr>
      <w:r w:rsidRPr="006C4611">
        <w:t>Središte našeg rada su ljudi – stanovnici općina TINTL-a. Svojim djelovanjem Agencija doprinosi stvaranju uvjeta za kvalitetniji život, očuvanje lokalnog identiteta i jačanje socijalne uključenosti.</w:t>
      </w:r>
    </w:p>
    <w:p w14:paraId="11F67B66" w14:textId="77777777" w:rsidR="00E07033" w:rsidRPr="006C4611" w:rsidRDefault="00E07033" w:rsidP="00E07033">
      <w:pPr>
        <w:pStyle w:val="NormalWeb"/>
        <w:numPr>
          <w:ilvl w:val="0"/>
          <w:numId w:val="14"/>
        </w:numPr>
        <w:spacing w:line="360" w:lineRule="auto"/>
        <w:jc w:val="both"/>
        <w:rPr>
          <w:rStyle w:val="Strong"/>
          <w:b w:val="0"/>
          <w:bCs w:val="0"/>
        </w:rPr>
      </w:pPr>
      <w:r w:rsidRPr="006C4611">
        <w:rPr>
          <w:rStyle w:val="Strong"/>
        </w:rPr>
        <w:t>Poduzetnički duh i proaktivnost</w:t>
      </w:r>
    </w:p>
    <w:p w14:paraId="567DE5F9" w14:textId="37E8AEAE" w:rsidR="00E07033" w:rsidRPr="006C4611" w:rsidRDefault="00E07033" w:rsidP="00E07033">
      <w:pPr>
        <w:pStyle w:val="NormalWeb"/>
        <w:spacing w:line="360" w:lineRule="auto"/>
        <w:ind w:left="720"/>
        <w:jc w:val="both"/>
      </w:pPr>
      <w:r w:rsidRPr="006C4611">
        <w:t>TINTL potiče inicijativu, kreativnost i poduzetnost kao pokretače lokalnog razvoja, aktivno tražeći prilike za nove projekte, investicije i suradnje.</w:t>
      </w:r>
    </w:p>
    <w:p w14:paraId="3C2C0210" w14:textId="77777777" w:rsidR="00E07033" w:rsidRPr="006C4611" w:rsidRDefault="00E07033" w:rsidP="00E07033">
      <w:pPr>
        <w:pStyle w:val="NormalWeb"/>
        <w:numPr>
          <w:ilvl w:val="0"/>
          <w:numId w:val="14"/>
        </w:numPr>
        <w:spacing w:line="360" w:lineRule="auto"/>
        <w:jc w:val="both"/>
        <w:rPr>
          <w:rStyle w:val="Strong"/>
          <w:b w:val="0"/>
          <w:bCs w:val="0"/>
        </w:rPr>
      </w:pPr>
      <w:r w:rsidRPr="006C4611">
        <w:rPr>
          <w:rStyle w:val="Strong"/>
        </w:rPr>
        <w:t>Jednakost i uključivost</w:t>
      </w:r>
    </w:p>
    <w:p w14:paraId="36EC6244" w14:textId="7F57FDD8" w:rsidR="00E07033" w:rsidRPr="006C4611" w:rsidRDefault="00E07033" w:rsidP="00E07033">
      <w:pPr>
        <w:pStyle w:val="NormalWeb"/>
        <w:spacing w:line="360" w:lineRule="auto"/>
        <w:ind w:left="720"/>
        <w:jc w:val="both"/>
      </w:pPr>
      <w:r w:rsidRPr="006C4611">
        <w:t>Agencija promiče jednak pristup mogućnostima za sve građane, bez obzira na dob, spol, nacionalnost ili društveni status, te podržava uključivanje ranjivih skupina u razvojne procese.</w:t>
      </w:r>
    </w:p>
    <w:p w14:paraId="72B66021" w14:textId="66B37995" w:rsidR="00E07033" w:rsidRPr="006C4611" w:rsidRDefault="008E6928" w:rsidP="008E6928">
      <w:pPr>
        <w:pStyle w:val="Heading1"/>
      </w:pPr>
      <w:bookmarkStart w:id="7" w:name="_Toc213328498"/>
      <w:r w:rsidRPr="006C4611">
        <w:lastRenderedPageBreak/>
        <w:t>KONTEKST</w:t>
      </w:r>
      <w:bookmarkEnd w:id="7"/>
      <w:r w:rsidRPr="006C4611">
        <w:t xml:space="preserve"> </w:t>
      </w:r>
    </w:p>
    <w:p w14:paraId="0DEA253B" w14:textId="311EDCBA" w:rsidR="008E6928" w:rsidRPr="006C4611" w:rsidRDefault="008E6928" w:rsidP="008E6928">
      <w:r w:rsidRPr="006C4611">
        <w:t xml:space="preserve">Razvojna agencija TINTL djeluje kao zajednička razvojna institucija pet općina vlasnika – </w:t>
      </w:r>
      <w:r w:rsidRPr="006C4611">
        <w:rPr>
          <w:rStyle w:val="Strong"/>
        </w:rPr>
        <w:t>Tompojevci, Tovarnik, Tordinci, Stari Jankovci i Lovas</w:t>
      </w:r>
      <w:r w:rsidRPr="006C4611">
        <w:t xml:space="preserve"> – s ciljem poticanja gospodarskog, društvenog i infrastrukturnog razvoja, te jačanja kapaciteta lokalne samouprave i civilnog sektora. Godišnji plan rada za 2026. godinu temelji se na prioritetima utvrđenima u provedbenim programima svake općine i na strateškim ciljevima održivog i ravnomjernog razvoja cijelog TINTL područja.</w:t>
      </w:r>
    </w:p>
    <w:p w14:paraId="6AA2F610" w14:textId="77777777" w:rsidR="008E6928" w:rsidRPr="006C4611" w:rsidRDefault="008E6928" w:rsidP="008E6928">
      <w:r w:rsidRPr="006C4611">
        <w:t xml:space="preserve">U 2026. godini naglasak se stavlja na </w:t>
      </w:r>
      <w:r w:rsidRPr="006C4611">
        <w:rPr>
          <w:rStyle w:val="Strong"/>
          <w:b w:val="0"/>
          <w:bCs w:val="0"/>
        </w:rPr>
        <w:t>projekte koji izravno doprinose demografskoj obnovi, jačanju lokalnog gospodarstva i unaprjeđenju kvalitete života stanovnika</w:t>
      </w:r>
      <w:r w:rsidRPr="006C4611">
        <w:rPr>
          <w:b/>
          <w:bCs/>
        </w:rPr>
        <w:t>.</w:t>
      </w:r>
    </w:p>
    <w:p w14:paraId="1B844325" w14:textId="49047A0C" w:rsidR="008E6928" w:rsidRPr="006C4611" w:rsidRDefault="008E6928" w:rsidP="008E6928">
      <w:r w:rsidRPr="006C4611">
        <w:rPr>
          <w:b/>
          <w:bCs/>
        </w:rPr>
        <w:t>Općina Tompojevci</w:t>
      </w:r>
      <w:r w:rsidRPr="006C4611">
        <w:t xml:space="preserve"> ulazi u 2026. godinu s važnim razvojnim iskorakom – početkom rada novoizgrađenog dječjeg vrtića, čime se značajno unapređuje sustav ranog i predškolskog odgoja. Paralelno se planira izgradnja stambene zgrade za mlade obitelji, što predstavlja snažan poticaj demografskoj revitalizaciji. Uz to, planirani su projekti rekonstrukcije prometnica, vodovodne mreže i komunalne infrastrukture, kao i “soft” programi za djecu i mlade, usmjereni na razvoj obrazovanja, sporta i društvenog života.</w:t>
      </w:r>
    </w:p>
    <w:p w14:paraId="6AA7B4C3" w14:textId="4612E5A3" w:rsidR="008E6928" w:rsidRPr="006C4611" w:rsidRDefault="008E6928" w:rsidP="008E6928">
      <w:r w:rsidRPr="006C4611">
        <w:rPr>
          <w:b/>
          <w:bCs/>
        </w:rPr>
        <w:t>U Općini Tovarnik</w:t>
      </w:r>
      <w:r w:rsidRPr="006C4611">
        <w:t xml:space="preserve"> će se u 2026. provoditi niz strateških projekata usmjerenih na demografiju, obrazovanje i društvenu infrastrukturu. Ključni projekt je otvaranje novog Dječjeg vrtića u Ilači, uz nastavak izgradnje sportske dvorane koja će služiti kao središte za sportske i društvene aktivnosti. Općina ulaže i u energetsku obnovu javnih zgrada, uređenje i opremanje kulturnih i društvenih domova, te projekte digitalizacije lokalne uprave. Posebna pozornost posvećuje se jačanju civilnog društva, kulturnih manifestacija i razvoja lokalnog turizma.</w:t>
      </w:r>
    </w:p>
    <w:p w14:paraId="55F5E122" w14:textId="20BC2C1E" w:rsidR="008E6928" w:rsidRPr="006C4611" w:rsidRDefault="008E6928" w:rsidP="008E6928">
      <w:r w:rsidRPr="006C4611">
        <w:rPr>
          <w:b/>
          <w:bCs/>
        </w:rPr>
        <w:t>Općina Tordinci</w:t>
      </w:r>
      <w:r w:rsidRPr="006C4611">
        <w:t xml:space="preserve"> nastavlja snažno ulagati u društvenu infrastrukturu, s posebnim naglaskom na pokretanje rada novog dječjeg vrtića kao ključnog demografskog i obrazovnog projekta 2026. godine. Provodit će se uređenje prometnica, nogostupa i javnih površina, kao i aktivnosti jačanja kulturnog i sportskog života. Posebna pažnja usmjerena je na kulturne manifestacije koje čuvaju lokalni identitet i tradiciju, te na ruralni turizam koji spaja kulturne i gospodarske potencijale područja.</w:t>
      </w:r>
    </w:p>
    <w:p w14:paraId="4987EF01" w14:textId="622C2C90" w:rsidR="003A43E7" w:rsidRPr="006C4611" w:rsidRDefault="003A43E7" w:rsidP="003A43E7">
      <w:r w:rsidRPr="006C4611">
        <w:rPr>
          <w:b/>
          <w:bCs/>
        </w:rPr>
        <w:t>Općina Stari Jankovci</w:t>
      </w:r>
      <w:r w:rsidRPr="006C4611">
        <w:t xml:space="preserve"> planira u 2026. godini izgradnju stambene zgrade te nadogradnju dječjeg vrtića, što su ključni projekti demografske obnove i ulaganja u ljudske potencijale. Uz to, planirani su brojni projekti u području komunalne i prometne infrastrukture, digitalizacije javnih usluga, poticanja gospodarstva i poljoprivrede, te razvoja obrazovanja, kulture i sporta.</w:t>
      </w:r>
    </w:p>
    <w:p w14:paraId="1CCB0206" w14:textId="53B66BF3" w:rsidR="003A43E7" w:rsidRPr="006C4611" w:rsidRDefault="003A43E7" w:rsidP="003A43E7">
      <w:r w:rsidRPr="006C4611">
        <w:lastRenderedPageBreak/>
        <w:t>Cilj je stvaranje suvremene, digitalno opremljene i održive općine koja svojim stanovnicima nudi visoku kvalitetu života.</w:t>
      </w:r>
    </w:p>
    <w:p w14:paraId="7C6ADA64" w14:textId="58C0FF49" w:rsidR="003A43E7" w:rsidRPr="006C4611" w:rsidRDefault="003A43E7" w:rsidP="003A43E7">
      <w:r w:rsidRPr="006C4611">
        <w:rPr>
          <w:b/>
          <w:bCs/>
        </w:rPr>
        <w:t>Općina Lovas</w:t>
      </w:r>
      <w:r w:rsidRPr="006C4611">
        <w:t xml:space="preserve"> u 2026. godini naglasak stavlja na povezivanje naselja i razvoj zelene infrastrukture kroz projekt izgradnje biciklističke staze Lovas – Opatovac, kao i modernizaciju komunalne infrastrukture i uređenje javnih površina. U planu su i aktivnosti zaštite okoliša, projekti demografske revitalizacije i potpore mladim obiteljima, te ulaganja u obrazovanje, vrtić i kulturno-društveni život. Općina Lovas usmjerena je na održiv razvoj i podizanje kvalitete života kroz uravnotežena ulaganja u infrastrukturu, okoliš i zajednicu.</w:t>
      </w:r>
    </w:p>
    <w:p w14:paraId="4EE1266A" w14:textId="65E6DA9A" w:rsidR="003A43E7" w:rsidRPr="006C4611" w:rsidRDefault="003A43E7" w:rsidP="003A43E7">
      <w:r w:rsidRPr="006C4611">
        <w:t>Razvojna agencija TINTL ima ključnu ulogu u provedbi, pripremi i koordinaciji svih razvojnih projekata na području svojih općina vlasnika.  Kao stručna i operativna podrška jedinicama lokalne samouprave, Agencija sudjeluje u izradi projektne dokumentacije, prijavi projekata na nacionalne i europske fondove te praćenju njihove provedbe i administrativnog upravljanja.</w:t>
      </w:r>
    </w:p>
    <w:p w14:paraId="05D27608" w14:textId="51B7AFEF" w:rsidR="003A43E7" w:rsidRPr="006C4611" w:rsidRDefault="003A43E7" w:rsidP="003A43E7">
      <w:r w:rsidRPr="006C4611">
        <w:t>Kroz svoje djelovanje, Agencija osigurava usklađenost projektnih aktivnosti s razvojnim strategijama općina, te doprinosi učinkovitijem korištenju raspoloživih izvora financiranja. U 2026. godini TINTL će nastaviti s intenzivnim radom na pripremi novih projektnih prijedloga, osobito onih koji se odnose na demografsku obnovu, komunalnu i društvenu infrastrukturu, digitalnu i zelenu tranziciju te jačanje gospodarskih i društvenih kapaciteta područja TINTL-a.</w:t>
      </w:r>
    </w:p>
    <w:p w14:paraId="323FB0ED" w14:textId="77777777" w:rsidR="00BE6D7A" w:rsidRPr="006C4611" w:rsidRDefault="00BE6D7A" w:rsidP="00BE6D7A">
      <w:pPr>
        <w:pStyle w:val="Heading1"/>
        <w:numPr>
          <w:ilvl w:val="0"/>
          <w:numId w:val="0"/>
        </w:numPr>
        <w:ind w:left="720"/>
      </w:pPr>
    </w:p>
    <w:p w14:paraId="6E0F7512" w14:textId="77777777" w:rsidR="00BE6D7A" w:rsidRPr="006C4611" w:rsidRDefault="00BE6D7A">
      <w:pPr>
        <w:spacing w:line="259" w:lineRule="auto"/>
        <w:jc w:val="left"/>
        <w:rPr>
          <w:rFonts w:cs="Times New Roman"/>
          <w:b/>
          <w:bCs/>
          <w:szCs w:val="24"/>
        </w:rPr>
      </w:pPr>
      <w:r w:rsidRPr="006C4611">
        <w:br w:type="page"/>
      </w:r>
    </w:p>
    <w:p w14:paraId="610C9CCC" w14:textId="77777777" w:rsidR="00BE6D7A" w:rsidRPr="006C4611" w:rsidRDefault="00BE6D7A" w:rsidP="00BE6D7A">
      <w:pPr>
        <w:pStyle w:val="Heading1"/>
      </w:pPr>
      <w:bookmarkStart w:id="8" w:name="_Toc213328499"/>
      <w:r w:rsidRPr="006C4611">
        <w:lastRenderedPageBreak/>
        <w:t>ORGANIZACIJSKA STRUKTURA</w:t>
      </w:r>
      <w:bookmarkEnd w:id="8"/>
    </w:p>
    <w:p w14:paraId="500C236C" w14:textId="77777777" w:rsidR="00BE6D7A" w:rsidRPr="006C4611" w:rsidRDefault="00BE6D7A" w:rsidP="00BE6D7A"/>
    <w:p w14:paraId="300B6DAE" w14:textId="385A0ED9" w:rsidR="00BE6D7A" w:rsidRPr="006C4611" w:rsidRDefault="00BE6D7A" w:rsidP="00BE6D7A">
      <w:pPr>
        <w:ind w:left="1416"/>
      </w:pPr>
      <w:r w:rsidRPr="006C4611">
        <w:rPr>
          <w:noProof/>
        </w:rPr>
        <w:drawing>
          <wp:inline distT="0" distB="0" distL="0" distR="0" wp14:anchorId="71F86622" wp14:editId="654FEBDC">
            <wp:extent cx="3634740" cy="2186940"/>
            <wp:effectExtent l="76200" t="0" r="99060" b="3810"/>
            <wp:docPr id="1383093411" name="Dij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0EE547DB" w14:textId="61B33B07" w:rsidR="00F465B8" w:rsidRPr="006C4611" w:rsidRDefault="00F465B8" w:rsidP="00BE6D7A"/>
    <w:p w14:paraId="33EC6831" w14:textId="77777777" w:rsidR="00F465B8" w:rsidRPr="006C4611" w:rsidRDefault="00F465B8">
      <w:pPr>
        <w:spacing w:line="259" w:lineRule="auto"/>
        <w:jc w:val="left"/>
      </w:pPr>
      <w:r w:rsidRPr="006C4611">
        <w:br w:type="page"/>
      </w:r>
    </w:p>
    <w:p w14:paraId="2D4C4301" w14:textId="32FA5E80" w:rsidR="00F465B8" w:rsidRPr="006C4611" w:rsidRDefault="00F465B8" w:rsidP="00F465B8">
      <w:pPr>
        <w:pStyle w:val="Heading1"/>
      </w:pPr>
      <w:bookmarkStart w:id="9" w:name="_Toc213328500"/>
      <w:r w:rsidRPr="006C4611">
        <w:lastRenderedPageBreak/>
        <w:t>SWOT ANALIZA</w:t>
      </w:r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F465B8" w:rsidRPr="006C4611" w14:paraId="198C20FC" w14:textId="77777777" w:rsidTr="00F465B8">
        <w:tc>
          <w:tcPr>
            <w:tcW w:w="4675" w:type="dxa"/>
            <w:shd w:val="clear" w:color="auto" w:fill="B4C6E7" w:themeFill="accent1" w:themeFillTint="66"/>
          </w:tcPr>
          <w:p w14:paraId="18EE1538" w14:textId="77777777" w:rsidR="00F465B8" w:rsidRPr="006C4611" w:rsidRDefault="00F465B8" w:rsidP="00C57DD5">
            <w:pPr>
              <w:jc w:val="center"/>
              <w:rPr>
                <w:b/>
                <w:bCs/>
              </w:rPr>
            </w:pPr>
            <w:r w:rsidRPr="006C4611">
              <w:rPr>
                <w:b/>
                <w:bCs/>
              </w:rPr>
              <w:t>SNAGE (S)</w:t>
            </w:r>
          </w:p>
        </w:tc>
        <w:tc>
          <w:tcPr>
            <w:tcW w:w="4675" w:type="dxa"/>
            <w:shd w:val="clear" w:color="auto" w:fill="B4C6E7" w:themeFill="accent1" w:themeFillTint="66"/>
          </w:tcPr>
          <w:p w14:paraId="00B0CBEE" w14:textId="77777777" w:rsidR="00F465B8" w:rsidRPr="006C4611" w:rsidRDefault="00F465B8" w:rsidP="00C57DD5">
            <w:pPr>
              <w:jc w:val="center"/>
              <w:rPr>
                <w:b/>
                <w:bCs/>
              </w:rPr>
            </w:pPr>
            <w:r w:rsidRPr="006C4611">
              <w:rPr>
                <w:b/>
                <w:bCs/>
              </w:rPr>
              <w:t>SLABOSTI (W)</w:t>
            </w:r>
          </w:p>
        </w:tc>
      </w:tr>
      <w:tr w:rsidR="00F465B8" w:rsidRPr="006C4611" w14:paraId="1A1D88C3" w14:textId="77777777" w:rsidTr="00C57DD5">
        <w:tc>
          <w:tcPr>
            <w:tcW w:w="4675" w:type="dxa"/>
          </w:tcPr>
          <w:p w14:paraId="3FD69576" w14:textId="5D688D7B" w:rsidR="00F465B8" w:rsidRPr="006C4611" w:rsidRDefault="00F465B8" w:rsidP="00F465B8">
            <w:pPr>
              <w:spacing w:line="240" w:lineRule="auto"/>
              <w:rPr>
                <w:lang w:val="hr-HR"/>
              </w:rPr>
            </w:pPr>
            <w:r w:rsidRPr="006C4611">
              <w:rPr>
                <w:lang w:val="hr-HR"/>
              </w:rPr>
              <w:t>- Utemeljenost na partnerstvu pet općina, što osigurava stabilnu institucionalnu potporu i zajedničke razvojne ciljeve.</w:t>
            </w:r>
          </w:p>
          <w:p w14:paraId="26309D6B" w14:textId="3FF5B3AE" w:rsidR="00F465B8" w:rsidRPr="006C4611" w:rsidRDefault="00F465B8" w:rsidP="00F465B8">
            <w:pPr>
              <w:spacing w:line="240" w:lineRule="auto"/>
              <w:rPr>
                <w:lang w:val="hr-HR"/>
              </w:rPr>
            </w:pPr>
            <w:r w:rsidRPr="006C4611">
              <w:rPr>
                <w:lang w:val="hr-HR"/>
              </w:rPr>
              <w:t>- Iskustvo u pripremi i provedbi projekata financiranih iz nacionalnih i EU fondova.</w:t>
            </w:r>
          </w:p>
          <w:p w14:paraId="3213EBA3" w14:textId="7830E8B7" w:rsidR="00F465B8" w:rsidRPr="006C4611" w:rsidRDefault="00F465B8" w:rsidP="00F465B8">
            <w:pPr>
              <w:spacing w:line="240" w:lineRule="auto"/>
              <w:rPr>
                <w:lang w:val="hr-HR"/>
              </w:rPr>
            </w:pPr>
            <w:r w:rsidRPr="006C4611">
              <w:rPr>
                <w:lang w:val="hr-HR"/>
              </w:rPr>
              <w:t>- Visoka razina poznavanja lokalnih potreba i specifičnosti ruralnih područja.</w:t>
            </w:r>
          </w:p>
          <w:p w14:paraId="414396EB" w14:textId="56BEA578" w:rsidR="00F465B8" w:rsidRPr="006C4611" w:rsidRDefault="00F465B8" w:rsidP="00F465B8">
            <w:pPr>
              <w:spacing w:line="240" w:lineRule="auto"/>
              <w:rPr>
                <w:lang w:val="hr-HR"/>
              </w:rPr>
            </w:pPr>
            <w:r w:rsidRPr="006C4611">
              <w:rPr>
                <w:lang w:val="hr-HR"/>
              </w:rPr>
              <w:t>- Umreženost s regionalnim i nacionalnim institucijama te partnerima u javnom i civilnom sektoru.</w:t>
            </w:r>
          </w:p>
          <w:p w14:paraId="0445C355" w14:textId="1228616C" w:rsidR="00F465B8" w:rsidRPr="006C4611" w:rsidRDefault="00F465B8" w:rsidP="00F465B8">
            <w:pPr>
              <w:spacing w:line="240" w:lineRule="auto"/>
            </w:pPr>
            <w:r w:rsidRPr="006C4611">
              <w:rPr>
                <w:lang w:val="hr-HR"/>
              </w:rPr>
              <w:t>- Uloga koordinatora i podrške u razvojnim aktivnostima općina.</w:t>
            </w:r>
          </w:p>
        </w:tc>
        <w:tc>
          <w:tcPr>
            <w:tcW w:w="4675" w:type="dxa"/>
          </w:tcPr>
          <w:p w14:paraId="3EA9F31E" w14:textId="40BD0CBD" w:rsidR="00F465B8" w:rsidRPr="006C4611" w:rsidRDefault="00F465B8" w:rsidP="00F465B8">
            <w:pPr>
              <w:spacing w:line="240" w:lineRule="auto"/>
              <w:rPr>
                <w:lang w:val="hr-HR"/>
              </w:rPr>
            </w:pPr>
            <w:r w:rsidRPr="006C4611">
              <w:rPr>
                <w:lang w:val="hr-HR"/>
              </w:rPr>
              <w:t>- Ograničeni ljudski i tehnički kapaciteti u odnosu na opseg projekata i broj uključenih dionika.</w:t>
            </w:r>
          </w:p>
          <w:p w14:paraId="18E0A788" w14:textId="7223713E" w:rsidR="00F465B8" w:rsidRPr="006C4611" w:rsidRDefault="00F465B8" w:rsidP="00F465B8">
            <w:pPr>
              <w:spacing w:line="240" w:lineRule="auto"/>
              <w:rPr>
                <w:lang w:val="hr-HR"/>
              </w:rPr>
            </w:pPr>
            <w:r w:rsidRPr="006C4611">
              <w:rPr>
                <w:lang w:val="hr-HR"/>
              </w:rPr>
              <w:t xml:space="preserve">- Nedovoljna prepoznatljivost Agencije u široj javnosti </w:t>
            </w:r>
          </w:p>
          <w:p w14:paraId="7D87D9E1" w14:textId="6C33E773" w:rsidR="00F465B8" w:rsidRPr="006C4611" w:rsidRDefault="00F465B8" w:rsidP="00F465B8">
            <w:pPr>
              <w:spacing w:line="240" w:lineRule="auto"/>
              <w:rPr>
                <w:lang w:val="hr-HR"/>
              </w:rPr>
            </w:pPr>
            <w:r w:rsidRPr="006C4611">
              <w:rPr>
                <w:lang w:val="hr-HR"/>
              </w:rPr>
              <w:t>- Potreba za dodatnim specijaliziranim znanjima (npr. energetska učinkovitost, digitalna tranzicija, održivi turizam).</w:t>
            </w:r>
          </w:p>
          <w:p w14:paraId="0F99CB6B" w14:textId="7222CD3D" w:rsidR="00F465B8" w:rsidRPr="006C4611" w:rsidRDefault="00F465B8" w:rsidP="00C57DD5">
            <w:pPr>
              <w:spacing w:line="240" w:lineRule="auto"/>
            </w:pPr>
          </w:p>
        </w:tc>
      </w:tr>
      <w:tr w:rsidR="00F465B8" w:rsidRPr="006C4611" w14:paraId="05D540A3" w14:textId="77777777" w:rsidTr="00F465B8">
        <w:tc>
          <w:tcPr>
            <w:tcW w:w="4675" w:type="dxa"/>
            <w:shd w:val="clear" w:color="auto" w:fill="B4C6E7" w:themeFill="accent1" w:themeFillTint="66"/>
          </w:tcPr>
          <w:p w14:paraId="7A145FDA" w14:textId="77777777" w:rsidR="00F465B8" w:rsidRPr="006C4611" w:rsidRDefault="00F465B8" w:rsidP="00C57DD5">
            <w:pPr>
              <w:jc w:val="center"/>
              <w:rPr>
                <w:b/>
                <w:bCs/>
              </w:rPr>
            </w:pPr>
            <w:r w:rsidRPr="006C4611">
              <w:rPr>
                <w:b/>
                <w:bCs/>
              </w:rPr>
              <w:t>PRILIKE (O)</w:t>
            </w:r>
          </w:p>
        </w:tc>
        <w:tc>
          <w:tcPr>
            <w:tcW w:w="4675" w:type="dxa"/>
            <w:shd w:val="clear" w:color="auto" w:fill="B4C6E7" w:themeFill="accent1" w:themeFillTint="66"/>
          </w:tcPr>
          <w:p w14:paraId="7AAE252E" w14:textId="77777777" w:rsidR="00F465B8" w:rsidRPr="006C4611" w:rsidRDefault="00F465B8" w:rsidP="00C57DD5">
            <w:pPr>
              <w:jc w:val="center"/>
              <w:rPr>
                <w:b/>
                <w:bCs/>
              </w:rPr>
            </w:pPr>
            <w:r w:rsidRPr="006C4611">
              <w:rPr>
                <w:b/>
                <w:bCs/>
              </w:rPr>
              <w:t>PRIJETNJE (T)</w:t>
            </w:r>
          </w:p>
        </w:tc>
      </w:tr>
      <w:tr w:rsidR="00F465B8" w:rsidRPr="006C4611" w14:paraId="2664BED8" w14:textId="77777777" w:rsidTr="00C57DD5">
        <w:tc>
          <w:tcPr>
            <w:tcW w:w="4675" w:type="dxa"/>
          </w:tcPr>
          <w:p w14:paraId="7DB84B26" w14:textId="100C6D53" w:rsidR="00F465B8" w:rsidRPr="006C4611" w:rsidRDefault="00F465B8" w:rsidP="00F465B8">
            <w:pPr>
              <w:spacing w:line="240" w:lineRule="auto"/>
              <w:rPr>
                <w:lang w:val="hr-HR"/>
              </w:rPr>
            </w:pPr>
            <w:r w:rsidRPr="006C4611">
              <w:rPr>
                <w:lang w:val="hr-HR"/>
              </w:rPr>
              <w:t>- Povećani interes za demografsku obnovu, energetsku učinkovitost i digitalizaciju ruralnih sredina.</w:t>
            </w:r>
          </w:p>
          <w:p w14:paraId="6F86E05E" w14:textId="4AC9BA98" w:rsidR="00F465B8" w:rsidRPr="006C4611" w:rsidRDefault="00F465B8" w:rsidP="00F465B8">
            <w:pPr>
              <w:spacing w:line="240" w:lineRule="auto"/>
              <w:rPr>
                <w:lang w:val="hr-HR"/>
              </w:rPr>
            </w:pPr>
            <w:r w:rsidRPr="006C4611">
              <w:rPr>
                <w:lang w:val="hr-HR"/>
              </w:rPr>
              <w:t>- Razvoj međusektorske suradnje (općine – civilni sektor – obrazovne i kulturne ustanove – poduzetnici).</w:t>
            </w:r>
          </w:p>
          <w:p w14:paraId="3B72E3ED" w14:textId="302DDA82" w:rsidR="00F465B8" w:rsidRPr="006C4611" w:rsidRDefault="00F465B8" w:rsidP="00F465B8">
            <w:pPr>
              <w:spacing w:line="240" w:lineRule="auto"/>
              <w:rPr>
                <w:lang w:val="hr-HR"/>
              </w:rPr>
            </w:pPr>
            <w:r w:rsidRPr="006C4611">
              <w:rPr>
                <w:lang w:val="hr-HR"/>
              </w:rPr>
              <w:t>- Rast potražnje za stručnim uslugama u pripremi i vođenju projekata.</w:t>
            </w:r>
          </w:p>
          <w:p w14:paraId="042DFA71" w14:textId="12DAB154" w:rsidR="00F465B8" w:rsidRPr="006C4611" w:rsidRDefault="00F465B8" w:rsidP="00F465B8">
            <w:pPr>
              <w:spacing w:line="240" w:lineRule="auto"/>
              <w:rPr>
                <w:lang w:val="hr-HR"/>
              </w:rPr>
            </w:pPr>
            <w:r w:rsidRPr="006C4611">
              <w:rPr>
                <w:lang w:val="hr-HR"/>
              </w:rPr>
              <w:t>- Mogućnost razvoja zajedničkih projekata na razini cijelog TINTL područja (turizam, gospodarstvo, infrastruktura).</w:t>
            </w:r>
          </w:p>
          <w:p w14:paraId="732EF493" w14:textId="091E1778" w:rsidR="00F465B8" w:rsidRPr="006C4611" w:rsidRDefault="00F465B8" w:rsidP="00F465B8">
            <w:pPr>
              <w:spacing w:line="240" w:lineRule="auto"/>
            </w:pPr>
            <w:r w:rsidRPr="006C4611">
              <w:rPr>
                <w:lang w:val="hr-HR"/>
              </w:rPr>
              <w:t>- Jačanje regionalne suradnje unutar Vukovarsko-srijemske županije i s međunarodnim partnerima (prekogranična suradnja).</w:t>
            </w:r>
          </w:p>
        </w:tc>
        <w:tc>
          <w:tcPr>
            <w:tcW w:w="4675" w:type="dxa"/>
          </w:tcPr>
          <w:p w14:paraId="2CD49B15" w14:textId="392AD29B" w:rsidR="00F465B8" w:rsidRPr="006C4611" w:rsidRDefault="00F465B8" w:rsidP="00F465B8">
            <w:pPr>
              <w:spacing w:line="240" w:lineRule="auto"/>
              <w:rPr>
                <w:lang w:val="hr-HR"/>
              </w:rPr>
            </w:pPr>
            <w:r w:rsidRPr="006C4611">
              <w:rPr>
                <w:lang w:val="hr-HR"/>
              </w:rPr>
              <w:t>- Gospodarska nestabilnost i inflacija koja može utjecati na provedbu i sufinanciranje projekata.</w:t>
            </w:r>
          </w:p>
          <w:p w14:paraId="1AF4C7FF" w14:textId="4CF83E6A" w:rsidR="00F465B8" w:rsidRPr="006C4611" w:rsidRDefault="002F2A8F" w:rsidP="00F465B8">
            <w:pPr>
              <w:spacing w:line="240" w:lineRule="auto"/>
              <w:rPr>
                <w:lang w:val="hr-HR"/>
              </w:rPr>
            </w:pPr>
            <w:r w:rsidRPr="006C4611">
              <w:rPr>
                <w:lang w:val="hr-HR"/>
              </w:rPr>
              <w:t>-</w:t>
            </w:r>
            <w:r w:rsidR="00F465B8" w:rsidRPr="006C4611">
              <w:rPr>
                <w:lang w:val="hr-HR"/>
              </w:rPr>
              <w:t xml:space="preserve"> Kompleksni administrativni zahtjevi i česte izmjene pravila EU fondova.</w:t>
            </w:r>
          </w:p>
          <w:p w14:paraId="3BA9484B" w14:textId="762A4131" w:rsidR="00F465B8" w:rsidRPr="006C4611" w:rsidRDefault="002F2A8F" w:rsidP="00F465B8">
            <w:pPr>
              <w:spacing w:line="240" w:lineRule="auto"/>
              <w:rPr>
                <w:lang w:val="hr-HR"/>
              </w:rPr>
            </w:pPr>
            <w:r w:rsidRPr="006C4611">
              <w:rPr>
                <w:lang w:val="hr-HR"/>
              </w:rPr>
              <w:t xml:space="preserve">- </w:t>
            </w:r>
            <w:r w:rsidR="00F465B8" w:rsidRPr="006C4611">
              <w:rPr>
                <w:lang w:val="hr-HR"/>
              </w:rPr>
              <w:t>Ograničeni proračuni općina osnivača, što može otežati sufinanciranje projekata.</w:t>
            </w:r>
          </w:p>
          <w:p w14:paraId="68474A19" w14:textId="34752360" w:rsidR="00F465B8" w:rsidRPr="006C4611" w:rsidRDefault="002F2A8F" w:rsidP="00F465B8">
            <w:pPr>
              <w:spacing w:line="240" w:lineRule="auto"/>
              <w:rPr>
                <w:lang w:val="hr-HR"/>
              </w:rPr>
            </w:pPr>
            <w:r w:rsidRPr="006C4611">
              <w:rPr>
                <w:lang w:val="hr-HR"/>
              </w:rPr>
              <w:t xml:space="preserve">- </w:t>
            </w:r>
            <w:r w:rsidR="00F465B8" w:rsidRPr="006C4611">
              <w:rPr>
                <w:lang w:val="hr-HR"/>
              </w:rPr>
              <w:t>Rizik preklapanja nadležnosti i odgovornosti između različitih institucija i razina vlasti.</w:t>
            </w:r>
          </w:p>
          <w:p w14:paraId="11F28DA8" w14:textId="65F4FD2B" w:rsidR="00F465B8" w:rsidRPr="006C4611" w:rsidRDefault="002F2A8F" w:rsidP="00F465B8">
            <w:pPr>
              <w:spacing w:line="240" w:lineRule="auto"/>
              <w:rPr>
                <w:lang w:val="hr-HR"/>
              </w:rPr>
            </w:pPr>
            <w:r w:rsidRPr="006C4611">
              <w:rPr>
                <w:lang w:val="hr-HR"/>
              </w:rPr>
              <w:t>-</w:t>
            </w:r>
            <w:r w:rsidR="00F465B8" w:rsidRPr="006C4611">
              <w:rPr>
                <w:lang w:val="hr-HR"/>
              </w:rPr>
              <w:t xml:space="preserve"> Klimatske promjene i okolišni rizici koji mogu utjecati na održivost ruralnog razvoja.</w:t>
            </w:r>
          </w:p>
          <w:p w14:paraId="19EFFA5F" w14:textId="7A63CA66" w:rsidR="00F465B8" w:rsidRPr="006C4611" w:rsidRDefault="00F465B8" w:rsidP="00C57DD5">
            <w:pPr>
              <w:spacing w:line="240" w:lineRule="auto"/>
            </w:pPr>
          </w:p>
        </w:tc>
      </w:tr>
    </w:tbl>
    <w:p w14:paraId="37D246AC" w14:textId="77777777" w:rsidR="00F465B8" w:rsidRPr="006C4611" w:rsidRDefault="00F465B8" w:rsidP="00F465B8"/>
    <w:p w14:paraId="27939B53" w14:textId="77777777" w:rsidR="00F465B8" w:rsidRPr="006C4611" w:rsidRDefault="00F465B8">
      <w:pPr>
        <w:spacing w:line="259" w:lineRule="auto"/>
        <w:jc w:val="left"/>
      </w:pPr>
      <w:r w:rsidRPr="006C4611">
        <w:br w:type="page"/>
      </w:r>
    </w:p>
    <w:p w14:paraId="5294C360" w14:textId="77777777" w:rsidR="003A43E7" w:rsidRPr="006C4611" w:rsidRDefault="003A43E7" w:rsidP="00BE6D7A"/>
    <w:p w14:paraId="4A6A3C9F" w14:textId="120E92DA" w:rsidR="00DE5731" w:rsidRPr="006C4611" w:rsidRDefault="00DE5731" w:rsidP="00DE5731">
      <w:pPr>
        <w:pStyle w:val="Heading1"/>
      </w:pPr>
      <w:bookmarkStart w:id="10" w:name="_Toc213328501"/>
      <w:r w:rsidRPr="006C4611">
        <w:t>PLANIRANE AKTIVNOSTI U 202</w:t>
      </w:r>
      <w:r w:rsidR="003A43E7" w:rsidRPr="006C4611">
        <w:t>6</w:t>
      </w:r>
      <w:r w:rsidRPr="006C4611">
        <w:t>. GODINI</w:t>
      </w:r>
      <w:bookmarkEnd w:id="10"/>
    </w:p>
    <w:p w14:paraId="5D0863C0" w14:textId="599E8F21" w:rsidR="000920DD" w:rsidRPr="006C4611" w:rsidRDefault="000920DD" w:rsidP="000920DD">
      <w:r w:rsidRPr="006C4611">
        <w:t xml:space="preserve">Djelatnici Agencije će pripremati i prijavljivati projekte na lokalne, nacionalne i EU natječaje. Kako bi projekti bili uspješni, kontinuirano će surađivati s djelatnicima u općinama osnivača, kao i s ostalim institucijama, tvrtkama, udrugama, poduzetnicima i poljoprivrednicima koji djeluju na području Agencije, kako bi se doprinijelo podizanju kvalitete i uspješnosti njihova rada, a sukladno tome, kako bi se ostvarile i brojne koristi za lokalnu zajednicu i stanovništvo. </w:t>
      </w:r>
    </w:p>
    <w:p w14:paraId="46165E2E" w14:textId="161AC5C7" w:rsidR="003E4180" w:rsidRPr="006C4611" w:rsidRDefault="00E26218" w:rsidP="000920DD">
      <w:r w:rsidRPr="006C4611">
        <w:t>Aktivnosti koje se planiraju u 202</w:t>
      </w:r>
      <w:r w:rsidR="003A43E7" w:rsidRPr="006C4611">
        <w:t>6</w:t>
      </w:r>
      <w:r w:rsidRPr="006C4611">
        <w:t xml:space="preserve">. godini su: </w:t>
      </w:r>
    </w:p>
    <w:p w14:paraId="2FF97E05" w14:textId="2A834024" w:rsidR="00E26218" w:rsidRPr="006C4611" w:rsidRDefault="00E26218" w:rsidP="00E26218">
      <w:pPr>
        <w:pStyle w:val="ListParagraph"/>
        <w:numPr>
          <w:ilvl w:val="0"/>
          <w:numId w:val="8"/>
        </w:numPr>
      </w:pPr>
      <w:r w:rsidRPr="006C4611">
        <w:t>Izrada projektnih prijedloga za financiranje kroz fondove EU;</w:t>
      </w:r>
    </w:p>
    <w:p w14:paraId="2C7A38BE" w14:textId="55F5D54F" w:rsidR="00E26218" w:rsidRPr="006C4611" w:rsidRDefault="00E26218" w:rsidP="00E26218">
      <w:pPr>
        <w:pStyle w:val="ListParagraph"/>
        <w:numPr>
          <w:ilvl w:val="0"/>
          <w:numId w:val="8"/>
        </w:numPr>
      </w:pPr>
      <w:r w:rsidRPr="006C4611">
        <w:t xml:space="preserve">Promocija Općine Tovarnik, Općine Tompojevci, </w:t>
      </w:r>
      <w:r w:rsidR="003A43E7" w:rsidRPr="006C4611">
        <w:t xml:space="preserve">Općine Tordinci, </w:t>
      </w:r>
      <w:r w:rsidRPr="006C4611">
        <w:t>Općine Lovas, Općine Stari Jankovci, Grada Iloka (lokalne zajednice);</w:t>
      </w:r>
    </w:p>
    <w:p w14:paraId="714E2396" w14:textId="0A3BB7BA" w:rsidR="00E26218" w:rsidRPr="006C4611" w:rsidRDefault="00E26218" w:rsidP="00E26218">
      <w:pPr>
        <w:pStyle w:val="ListParagraph"/>
        <w:numPr>
          <w:ilvl w:val="0"/>
          <w:numId w:val="8"/>
        </w:numPr>
      </w:pPr>
      <w:r w:rsidRPr="006C4611">
        <w:t>Stvaranje lokalnih mreža;</w:t>
      </w:r>
    </w:p>
    <w:p w14:paraId="2781A9B0" w14:textId="79621C2A" w:rsidR="00E26218" w:rsidRPr="006C4611" w:rsidRDefault="00E26218" w:rsidP="00E26218">
      <w:pPr>
        <w:pStyle w:val="ListParagraph"/>
        <w:numPr>
          <w:ilvl w:val="0"/>
          <w:numId w:val="8"/>
        </w:numPr>
      </w:pPr>
      <w:r w:rsidRPr="006C4611">
        <w:t>Pružanje tehničke pomoći lokalnim vlastima u izradi projektnih prijedloga za financiranje kroz fondove EU i dr.;</w:t>
      </w:r>
    </w:p>
    <w:p w14:paraId="6BC0A099" w14:textId="5FD8AEB5" w:rsidR="00E26218" w:rsidRPr="006C4611" w:rsidRDefault="00E26218" w:rsidP="00E26218">
      <w:pPr>
        <w:pStyle w:val="ListParagraph"/>
        <w:numPr>
          <w:ilvl w:val="0"/>
          <w:numId w:val="8"/>
        </w:numPr>
      </w:pPr>
      <w:r w:rsidRPr="006C4611">
        <w:t xml:space="preserve">Izrada studije izvedivosti, poslovnih planova i investicijskih elaborata; </w:t>
      </w:r>
    </w:p>
    <w:p w14:paraId="7762FBC7" w14:textId="7113AD44" w:rsidR="00E26218" w:rsidRPr="006C4611" w:rsidRDefault="00E26218" w:rsidP="00E26218">
      <w:pPr>
        <w:pStyle w:val="ListParagraph"/>
        <w:numPr>
          <w:ilvl w:val="0"/>
          <w:numId w:val="8"/>
        </w:numPr>
      </w:pPr>
      <w:r w:rsidRPr="006C4611">
        <w:t xml:space="preserve">Priprema i provedba programa i mehanizama (mehanizam za oporavak, ITU mehanizam i sl.). </w:t>
      </w:r>
    </w:p>
    <w:p w14:paraId="41AF0BA8" w14:textId="47CD5AF5" w:rsidR="00E26218" w:rsidRPr="006C4611" w:rsidRDefault="00E26218" w:rsidP="00E26218">
      <w:pPr>
        <w:pStyle w:val="Heading2"/>
        <w:numPr>
          <w:ilvl w:val="1"/>
          <w:numId w:val="5"/>
        </w:numPr>
      </w:pPr>
      <w:r w:rsidRPr="006C4611">
        <w:t xml:space="preserve"> </w:t>
      </w:r>
      <w:bookmarkStart w:id="11" w:name="_Toc213328502"/>
      <w:r w:rsidRPr="006C4611">
        <w:t>Priprema i provedba razvojnih projekata</w:t>
      </w:r>
      <w:bookmarkEnd w:id="11"/>
      <w:r w:rsidRPr="006C4611">
        <w:t xml:space="preserve"> </w:t>
      </w:r>
    </w:p>
    <w:p w14:paraId="38C0976D" w14:textId="393127A7" w:rsidR="00E26218" w:rsidRPr="006C4611" w:rsidRDefault="00E26218" w:rsidP="00E26218">
      <w:r w:rsidRPr="006C4611">
        <w:t xml:space="preserve">Priprema i provedba razvojnih projekata jedna su od najvažnijih aktivnosti Agencije i predstavlja važan instrument poticanja regionalnog, društvenog i gospodarskog razvoja. Agencija će maksimalno koristiti svoje resurse kako bi osigurala što više sredstava iz EU fondova, posebice u području poticanja razvoja poduzetništva i investicijske klime te razvoja ruralnog područja TINTL-a. </w:t>
      </w:r>
    </w:p>
    <w:p w14:paraId="65B923A8" w14:textId="50EBADA3" w:rsidR="00D516A1" w:rsidRPr="006C4611" w:rsidRDefault="00D516A1" w:rsidP="00E26218">
      <w:r w:rsidRPr="006C4611">
        <w:t>Održa</w:t>
      </w:r>
      <w:r w:rsidR="0097664C" w:rsidRPr="006C4611">
        <w:t>va</w:t>
      </w:r>
      <w:r w:rsidRPr="006C4611">
        <w:t>ti će se redovni radni sastanci s predstavnicima JLS osnivača kako bi se utvrdile potrebe tih JLS-a.</w:t>
      </w:r>
    </w:p>
    <w:p w14:paraId="21C0ADC6" w14:textId="6FF4ADAC" w:rsidR="00D516A1" w:rsidRPr="006C4611" w:rsidRDefault="00D516A1" w:rsidP="00E26218">
      <w:r w:rsidRPr="006C4611">
        <w:t>Najava natječaja za 202</w:t>
      </w:r>
      <w:r w:rsidR="003A43E7" w:rsidRPr="006C4611">
        <w:t>6</w:t>
      </w:r>
      <w:r w:rsidRPr="006C4611">
        <w:t>. godinu još nije objavljena po pojedinim Ministarstvima RH te će se pratiti svi natječaji u najavi koje će Agencija pripremati u suradnji s JLS-ima osnivačima i lokalnom zajednicom , a ovisno o potrebama JLS-a.</w:t>
      </w:r>
    </w:p>
    <w:p w14:paraId="0CBA6EA1" w14:textId="32EBF1D1" w:rsidR="00D516A1" w:rsidRPr="006C4611" w:rsidRDefault="00D516A1" w:rsidP="00D516A1">
      <w:r w:rsidRPr="006C4611">
        <w:t xml:space="preserve">Neki od natječaja koje će Agencija pripremati su: </w:t>
      </w:r>
    </w:p>
    <w:p w14:paraId="006F4F4A" w14:textId="67D78795" w:rsidR="00D516A1" w:rsidRPr="006C4611" w:rsidRDefault="00D516A1" w:rsidP="00D516A1">
      <w:pPr>
        <w:pStyle w:val="ListParagraph"/>
        <w:numPr>
          <w:ilvl w:val="0"/>
          <w:numId w:val="11"/>
        </w:numPr>
      </w:pPr>
      <w:r w:rsidRPr="006C4611">
        <w:t xml:space="preserve">Natječaji Ministarstava Republike Hrvatske, </w:t>
      </w:r>
    </w:p>
    <w:p w14:paraId="6B1C5D86" w14:textId="27149CDD" w:rsidR="00D516A1" w:rsidRPr="006C4611" w:rsidRDefault="00D516A1" w:rsidP="00D516A1">
      <w:pPr>
        <w:pStyle w:val="ListParagraph"/>
        <w:numPr>
          <w:ilvl w:val="0"/>
          <w:numId w:val="11"/>
        </w:numPr>
      </w:pPr>
      <w:r w:rsidRPr="006C4611">
        <w:lastRenderedPageBreak/>
        <w:t xml:space="preserve">Programi prekogranične suradnje, </w:t>
      </w:r>
    </w:p>
    <w:p w14:paraId="6EB6E069" w14:textId="13AB3584" w:rsidR="00D516A1" w:rsidRPr="006C4611" w:rsidRDefault="00D516A1" w:rsidP="00D516A1">
      <w:pPr>
        <w:pStyle w:val="ListParagraph"/>
        <w:numPr>
          <w:ilvl w:val="0"/>
          <w:numId w:val="11"/>
        </w:numPr>
      </w:pPr>
      <w:r w:rsidRPr="006C4611">
        <w:t xml:space="preserve">Natječaji Fonda za zaštitu okoliša, </w:t>
      </w:r>
    </w:p>
    <w:p w14:paraId="2B82D095" w14:textId="4C905830" w:rsidR="00D516A1" w:rsidRPr="006C4611" w:rsidRDefault="00D516A1" w:rsidP="00D516A1">
      <w:pPr>
        <w:pStyle w:val="ListParagraph"/>
        <w:numPr>
          <w:ilvl w:val="0"/>
          <w:numId w:val="11"/>
        </w:numPr>
      </w:pPr>
      <w:r w:rsidRPr="006C4611">
        <w:t xml:space="preserve">Natječaji Uprave za potporu poljoprivredi i ruralnom razvoju, </w:t>
      </w:r>
    </w:p>
    <w:p w14:paraId="432E96DE" w14:textId="0AFD59B4" w:rsidR="00D516A1" w:rsidRPr="006C4611" w:rsidRDefault="00D516A1" w:rsidP="00D516A1">
      <w:pPr>
        <w:pStyle w:val="ListParagraph"/>
        <w:numPr>
          <w:ilvl w:val="0"/>
          <w:numId w:val="11"/>
        </w:numPr>
      </w:pPr>
      <w:r w:rsidRPr="006C4611">
        <w:t>Natječaj</w:t>
      </w:r>
      <w:r w:rsidR="00E041A4" w:rsidRPr="006C4611">
        <w:t>i</w:t>
      </w:r>
      <w:r w:rsidRPr="006C4611">
        <w:t xml:space="preserve"> Vukovarsko-srijemske </w:t>
      </w:r>
      <w:r w:rsidR="00117D26" w:rsidRPr="006C4611">
        <w:t>županije</w:t>
      </w:r>
      <w:r w:rsidRPr="006C4611">
        <w:t>,</w:t>
      </w:r>
    </w:p>
    <w:p w14:paraId="4C28F4DA" w14:textId="6AF91C01" w:rsidR="00FB47A3" w:rsidRPr="006C4611" w:rsidRDefault="00117D26" w:rsidP="00D516A1">
      <w:pPr>
        <w:pStyle w:val="ListParagraph"/>
        <w:numPr>
          <w:ilvl w:val="0"/>
          <w:numId w:val="11"/>
        </w:numPr>
      </w:pPr>
      <w:r w:rsidRPr="006C4611">
        <w:t>Natječaji</w:t>
      </w:r>
      <w:r w:rsidR="00FB47A3" w:rsidRPr="006C4611">
        <w:t xml:space="preserve"> za donacije pojedinih tvrtki,</w:t>
      </w:r>
    </w:p>
    <w:p w14:paraId="1448FB55" w14:textId="2E772637" w:rsidR="00D516A1" w:rsidRPr="006C4611" w:rsidRDefault="003460C3" w:rsidP="00D516A1">
      <w:pPr>
        <w:pStyle w:val="ListParagraph"/>
        <w:numPr>
          <w:ilvl w:val="0"/>
          <w:numId w:val="11"/>
        </w:numPr>
      </w:pPr>
      <w:r w:rsidRPr="006C4611">
        <w:t>N</w:t>
      </w:r>
      <w:r w:rsidR="00D516A1" w:rsidRPr="006C4611">
        <w:t>atječaj</w:t>
      </w:r>
      <w:r w:rsidRPr="006C4611">
        <w:t>i</w:t>
      </w:r>
      <w:r w:rsidR="00D516A1" w:rsidRPr="006C4611">
        <w:t xml:space="preserve"> iz programa Europski socijalni fond, Europski fond za regionalni razvoj i Kohezijski fond</w:t>
      </w:r>
      <w:r w:rsidR="00877B25" w:rsidRPr="006C4611">
        <w:t xml:space="preserve"> i drugi</w:t>
      </w:r>
      <w:r w:rsidRPr="006C4611">
        <w:t xml:space="preserve"> nat</w:t>
      </w:r>
      <w:r w:rsidR="00B81D51" w:rsidRPr="006C4611">
        <w:t>ječaji</w:t>
      </w:r>
      <w:r w:rsidR="00D516A1" w:rsidRPr="006C4611">
        <w:t xml:space="preserve">. </w:t>
      </w:r>
    </w:p>
    <w:p w14:paraId="794A897E" w14:textId="0AE29066" w:rsidR="00E26218" w:rsidRPr="006C4611" w:rsidRDefault="00E26218" w:rsidP="00E26218">
      <w:pPr>
        <w:pStyle w:val="Heading2"/>
        <w:numPr>
          <w:ilvl w:val="1"/>
          <w:numId w:val="5"/>
        </w:numPr>
      </w:pPr>
      <w:r w:rsidRPr="006C4611">
        <w:t xml:space="preserve"> </w:t>
      </w:r>
      <w:bookmarkStart w:id="12" w:name="_Toc213328503"/>
      <w:r w:rsidRPr="006C4611">
        <w:t xml:space="preserve">Promocija Općine Tovarnik, Općine Tompojevci, </w:t>
      </w:r>
      <w:r w:rsidR="00E22DAA" w:rsidRPr="006C4611">
        <w:t xml:space="preserve">Općine Tordinci, </w:t>
      </w:r>
      <w:r w:rsidRPr="006C4611">
        <w:t>Općine Lovas, Općine Stari Jankovci, Grada Iloka (lokalne zajednice)</w:t>
      </w:r>
      <w:bookmarkEnd w:id="12"/>
    </w:p>
    <w:p w14:paraId="49251E66" w14:textId="5642C771" w:rsidR="00FB47A3" w:rsidRPr="006C4611" w:rsidRDefault="00FB47A3" w:rsidP="00FB47A3">
      <w:r w:rsidRPr="006C4611">
        <w:t xml:space="preserve">Navedena aktivnosti odvijati će se sudjelovanjem na raznim lokalnim i regionalnim sajmovima, edukativno-informativnim radionicama na poziv organizatora, danima EU fondova, lokalnim i regionalnim manifestacijama kao što su: </w:t>
      </w:r>
    </w:p>
    <w:p w14:paraId="653A1342" w14:textId="18D1951B" w:rsidR="00FB47A3" w:rsidRPr="006C4611" w:rsidRDefault="00FB47A3" w:rsidP="00FB47A3">
      <w:pPr>
        <w:pStyle w:val="ListParagraph"/>
        <w:numPr>
          <w:ilvl w:val="0"/>
          <w:numId w:val="12"/>
        </w:numPr>
      </w:pPr>
      <w:r w:rsidRPr="006C4611">
        <w:t xml:space="preserve">XII. Gospodarski forum Vukovarsko-srijemske županije u </w:t>
      </w:r>
      <w:r w:rsidR="00BE6D7A" w:rsidRPr="006C4611">
        <w:t>Lovasu</w:t>
      </w:r>
      <w:r w:rsidRPr="006C4611">
        <w:t xml:space="preserve"> (rujan/listopad 202</w:t>
      </w:r>
      <w:r w:rsidR="00BE6D7A" w:rsidRPr="006C4611">
        <w:t>6</w:t>
      </w:r>
      <w:r w:rsidRPr="006C4611">
        <w:t>.);</w:t>
      </w:r>
    </w:p>
    <w:p w14:paraId="77F57E12" w14:textId="34E5EC54" w:rsidR="00FB47A3" w:rsidRPr="006C4611" w:rsidRDefault="00FB47A3" w:rsidP="00FB47A3">
      <w:pPr>
        <w:pStyle w:val="ListParagraph"/>
        <w:numPr>
          <w:ilvl w:val="0"/>
          <w:numId w:val="12"/>
        </w:numPr>
      </w:pPr>
      <w:r w:rsidRPr="006C4611">
        <w:t>Forum lokalnih razvojnih agencija, Stari Jankovci (proljeće 202</w:t>
      </w:r>
      <w:r w:rsidR="00BE6D7A" w:rsidRPr="006C4611">
        <w:t>6</w:t>
      </w:r>
      <w:r w:rsidRPr="006C4611">
        <w:t>.);</w:t>
      </w:r>
    </w:p>
    <w:p w14:paraId="46734320" w14:textId="11DD9D39" w:rsidR="00FB47A3" w:rsidRPr="006C4611" w:rsidRDefault="00FB47A3" w:rsidP="00FB47A3">
      <w:pPr>
        <w:pStyle w:val="ListParagraph"/>
        <w:numPr>
          <w:ilvl w:val="0"/>
          <w:numId w:val="12"/>
        </w:numPr>
      </w:pPr>
      <w:r w:rsidRPr="006C4611">
        <w:t>Sajam EU projekata (svibanj 202</w:t>
      </w:r>
      <w:r w:rsidR="00BE6D7A" w:rsidRPr="006C4611">
        <w:t>6</w:t>
      </w:r>
      <w:r w:rsidRPr="006C4611">
        <w:t>.);</w:t>
      </w:r>
    </w:p>
    <w:p w14:paraId="4E30DC76" w14:textId="0556548A" w:rsidR="00FB47A3" w:rsidRPr="006C4611" w:rsidRDefault="00FB47A3" w:rsidP="00FB47A3">
      <w:pPr>
        <w:pStyle w:val="ListParagraph"/>
        <w:numPr>
          <w:ilvl w:val="0"/>
          <w:numId w:val="12"/>
        </w:numPr>
      </w:pPr>
      <w:r w:rsidRPr="006C4611">
        <w:t>Te na drugim sajmovima, manifestacijama i organizacijama na koje Agencija bude pozvana, na kojima će prezentirati svoj rad i aktivnosti.</w:t>
      </w:r>
    </w:p>
    <w:p w14:paraId="665E856A" w14:textId="66887C17" w:rsidR="00E26218" w:rsidRPr="006C4611" w:rsidRDefault="00E26218" w:rsidP="00E26218">
      <w:pPr>
        <w:pStyle w:val="Heading2"/>
        <w:numPr>
          <w:ilvl w:val="1"/>
          <w:numId w:val="5"/>
        </w:numPr>
      </w:pPr>
      <w:r w:rsidRPr="006C4611">
        <w:t xml:space="preserve">  </w:t>
      </w:r>
      <w:bookmarkStart w:id="13" w:name="_Toc213328504"/>
      <w:r w:rsidRPr="006C4611">
        <w:t>Stvaranje lokalnih mreža</w:t>
      </w:r>
      <w:bookmarkEnd w:id="13"/>
    </w:p>
    <w:p w14:paraId="046AB85B" w14:textId="1952E284" w:rsidR="00FB47A3" w:rsidRPr="006C4611" w:rsidRDefault="00FB47A3" w:rsidP="00FB47A3">
      <w:r w:rsidRPr="006C4611">
        <w:t xml:space="preserve">Nastavit će se poticati udruživanje u klastere s ciljem umrežavanja poduzetnika, obrtnika i OPG-ova na području JLS osnivača u svrhu poticanja njihova rasta i razvoja, zajedničkog nastupa na tržištu, radi lakšeg povlačenja sredstava </w:t>
      </w:r>
      <w:r w:rsidR="00C90C32" w:rsidRPr="006C4611">
        <w:t>iz</w:t>
      </w:r>
      <w:r w:rsidRPr="006C4611">
        <w:t xml:space="preserve"> nacionalnih ili EU fondova. Udruživanjem će se doprinijeti razvoju poslovanja, razmjenom informacija i iskustava. </w:t>
      </w:r>
    </w:p>
    <w:p w14:paraId="042A0456" w14:textId="12D6FF1B" w:rsidR="00FB47A3" w:rsidRPr="006C4611" w:rsidRDefault="00FB47A3" w:rsidP="00FB47A3">
      <w:r w:rsidRPr="006C4611">
        <w:t xml:space="preserve">To će se učiniti organizacijom okruglih stolova na temu privlačenja EU sredstava za razvoj i umrežavanja u klastere ili </w:t>
      </w:r>
      <w:r w:rsidR="00E86C8B" w:rsidRPr="006C4611">
        <w:t>udruge proizvođača.</w:t>
      </w:r>
    </w:p>
    <w:p w14:paraId="3583BA91" w14:textId="578EC905" w:rsidR="00E86C8B" w:rsidRPr="006C4611" w:rsidRDefault="00E86C8B" w:rsidP="00FB47A3">
      <w:r w:rsidRPr="006C4611">
        <w:t xml:space="preserve">Također, Agencija će </w:t>
      </w:r>
      <w:r w:rsidR="000568A9" w:rsidRPr="006C4611">
        <w:t xml:space="preserve">prvenstveno značajno </w:t>
      </w:r>
      <w:r w:rsidRPr="006C4611">
        <w:t>povećati svoju suradnju s LAG-om Srijem</w:t>
      </w:r>
      <w:r w:rsidR="000568A9" w:rsidRPr="006C4611">
        <w:t xml:space="preserve"> i dovesti ju na izrazito viši stupanj suradnje</w:t>
      </w:r>
      <w:r w:rsidRPr="006C4611">
        <w:t xml:space="preserve">, ali </w:t>
      </w:r>
      <w:r w:rsidR="000568A9" w:rsidRPr="006C4611">
        <w:t xml:space="preserve">će raditi i na suradnji </w:t>
      </w:r>
      <w:r w:rsidRPr="006C4611">
        <w:t xml:space="preserve">i </w:t>
      </w:r>
      <w:r w:rsidR="000568A9" w:rsidRPr="006C4611">
        <w:t xml:space="preserve">s </w:t>
      </w:r>
      <w:r w:rsidRPr="006C4611">
        <w:t xml:space="preserve">drugim LAG-ovima te lokalnim i regionalnim razvojnim agencijama. S obzirom na ulogu koju LAG-ovi imaju u Programskom razdoblju, </w:t>
      </w:r>
      <w:r w:rsidR="000568A9" w:rsidRPr="006C4611">
        <w:t xml:space="preserve">iznimno </w:t>
      </w:r>
      <w:r w:rsidRPr="006C4611">
        <w:t>bitna je suradnja Agencije s LAG-om Srijem. Agencija će surađivati i s drugim razvojni</w:t>
      </w:r>
      <w:r w:rsidR="000568A9" w:rsidRPr="006C4611">
        <w:t>m</w:t>
      </w:r>
      <w:r w:rsidRPr="006C4611">
        <w:t xml:space="preserve"> i poduzetničkim institucijama, na strateškim i gospodarskim projektima kako bi se razmijenile informacije, iskustva i znanja. </w:t>
      </w:r>
    </w:p>
    <w:p w14:paraId="08C01FE6" w14:textId="296CD80D" w:rsidR="00E26218" w:rsidRPr="006C4611" w:rsidRDefault="00E26218" w:rsidP="00E26218">
      <w:pPr>
        <w:pStyle w:val="Heading2"/>
        <w:numPr>
          <w:ilvl w:val="1"/>
          <w:numId w:val="5"/>
        </w:numPr>
      </w:pPr>
      <w:r w:rsidRPr="006C4611">
        <w:lastRenderedPageBreak/>
        <w:t xml:space="preserve"> </w:t>
      </w:r>
      <w:bookmarkStart w:id="14" w:name="_Toc213328505"/>
      <w:r w:rsidRPr="006C4611">
        <w:t>Pružanje tehničke pomoći lokalnim vlastima u izradi projektnih prijedloga za financiranje kroz fondove EU i dr.</w:t>
      </w:r>
      <w:bookmarkEnd w:id="14"/>
    </w:p>
    <w:p w14:paraId="0FF5CA93" w14:textId="585FA5CD" w:rsidR="00E86C8B" w:rsidRPr="006C4611" w:rsidRDefault="00E86C8B" w:rsidP="00E86C8B">
      <w:r w:rsidRPr="006C4611">
        <w:t>Ovom aktivnosti doprinijeti će se komunalnom uređenju, gospodarskom i društvenom razvoju ovog ruralnog područja.</w:t>
      </w:r>
    </w:p>
    <w:p w14:paraId="57B73833" w14:textId="64AFB23E" w:rsidR="00E26218" w:rsidRPr="006C4611" w:rsidRDefault="00E26218" w:rsidP="00E26218">
      <w:pPr>
        <w:pStyle w:val="Heading2"/>
        <w:numPr>
          <w:ilvl w:val="1"/>
          <w:numId w:val="5"/>
        </w:numPr>
      </w:pPr>
      <w:r w:rsidRPr="006C4611">
        <w:t xml:space="preserve"> </w:t>
      </w:r>
      <w:bookmarkStart w:id="15" w:name="_Toc213328506"/>
      <w:r w:rsidRPr="006C4611">
        <w:t>Izrada studije izvedivosti, poslovnih planova i investicijskih elaborata</w:t>
      </w:r>
      <w:bookmarkEnd w:id="15"/>
    </w:p>
    <w:p w14:paraId="0CD8A1DC" w14:textId="6EDCA537" w:rsidR="00E86C8B" w:rsidRPr="006C4611" w:rsidRDefault="00E86C8B" w:rsidP="00E86C8B">
      <w:r w:rsidRPr="006C4611">
        <w:t xml:space="preserve">Agencija će se baviti i pripremom i prijavom projekata na natječaje, izradom poslovnih planova, izradom projektnim aplikacija te provedbom projekata. </w:t>
      </w:r>
    </w:p>
    <w:p w14:paraId="7307F363" w14:textId="6A773521" w:rsidR="00E26218" w:rsidRPr="006C4611" w:rsidRDefault="00E26218" w:rsidP="00E26218">
      <w:pPr>
        <w:pStyle w:val="Heading2"/>
        <w:numPr>
          <w:ilvl w:val="1"/>
          <w:numId w:val="5"/>
        </w:numPr>
      </w:pPr>
      <w:r w:rsidRPr="006C4611">
        <w:t xml:space="preserve"> </w:t>
      </w:r>
      <w:bookmarkStart w:id="16" w:name="_Toc213328507"/>
      <w:r w:rsidRPr="006C4611">
        <w:t>Priprema i provedba programa i mehanizama (mehanizam za oporavak, ITU mehanizam i sl.)</w:t>
      </w:r>
      <w:bookmarkEnd w:id="16"/>
    </w:p>
    <w:p w14:paraId="1C3B3A6F" w14:textId="0C515AEA" w:rsidR="003E4180" w:rsidRPr="006C4611" w:rsidRDefault="00E86C8B" w:rsidP="000920DD">
      <w:r w:rsidRPr="006C4611">
        <w:t xml:space="preserve">Razvojna agencija će svoje djelovanje usmjeriti na rad i zastupanje jedinica lokalne samouprave u osiguranju financijskih sredstava kroz razne instrumente pomoći kao što su ITU mehanizam, mehanizam za oporavak i otpornost i sl. </w:t>
      </w:r>
    </w:p>
    <w:p w14:paraId="73FA43AE" w14:textId="42B28A75" w:rsidR="006F5F0C" w:rsidRPr="006C4611" w:rsidRDefault="006F5F0C" w:rsidP="000920DD"/>
    <w:p w14:paraId="567678E1" w14:textId="77777777" w:rsidR="006F5F0C" w:rsidRPr="006C4611" w:rsidRDefault="006F5F0C">
      <w:pPr>
        <w:spacing w:line="259" w:lineRule="auto"/>
        <w:jc w:val="left"/>
      </w:pPr>
      <w:r w:rsidRPr="006C4611">
        <w:br w:type="page"/>
      </w:r>
    </w:p>
    <w:p w14:paraId="64B30422" w14:textId="50E56F5B" w:rsidR="006F5F0C" w:rsidRPr="006C4611" w:rsidRDefault="00657836" w:rsidP="006F5F0C">
      <w:pPr>
        <w:pStyle w:val="Heading1"/>
      </w:pPr>
      <w:bookmarkStart w:id="17" w:name="_Toc213328508"/>
      <w:r w:rsidRPr="006C4611">
        <w:lastRenderedPageBreak/>
        <w:t>POPIS PRIORITETA DJELOVANJA U PODRUČJU NADLEŽNOSTI</w:t>
      </w:r>
      <w:bookmarkEnd w:id="17"/>
      <w:r w:rsidRPr="006C4611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3"/>
        <w:gridCol w:w="7499"/>
      </w:tblGrid>
      <w:tr w:rsidR="006F5F0C" w:rsidRPr="006C4611" w14:paraId="4FD6551D" w14:textId="77777777" w:rsidTr="00657836">
        <w:trPr>
          <w:cantSplit/>
          <w:trHeight w:val="197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85B4ADF" w14:textId="77777777" w:rsidR="006F5F0C" w:rsidRPr="006C4611" w:rsidRDefault="006F5F0C" w:rsidP="00851255">
            <w:pPr>
              <w:rPr>
                <w:b/>
                <w:bCs/>
              </w:rPr>
            </w:pPr>
            <w:r w:rsidRPr="006C4611">
              <w:rPr>
                <w:b/>
                <w:bCs/>
              </w:rPr>
              <w:t>PRIORITET</w:t>
            </w:r>
          </w:p>
          <w:p w14:paraId="11543CA8" w14:textId="77777777" w:rsidR="006F5F0C" w:rsidRPr="006C4611" w:rsidRDefault="006F5F0C" w:rsidP="00851255">
            <w:pPr>
              <w:rPr>
                <w:b/>
                <w:bCs/>
              </w:rPr>
            </w:pPr>
          </w:p>
          <w:p w14:paraId="67A7C53B" w14:textId="77777777" w:rsidR="006F5F0C" w:rsidRPr="006C4611" w:rsidRDefault="006F5F0C" w:rsidP="00851255">
            <w:pPr>
              <w:rPr>
                <w:b/>
                <w:bCs/>
              </w:rPr>
            </w:pPr>
          </w:p>
          <w:p w14:paraId="2A465E39" w14:textId="77777777" w:rsidR="006F5F0C" w:rsidRPr="006C4611" w:rsidRDefault="006F5F0C" w:rsidP="00851255">
            <w:pPr>
              <w:rPr>
                <w:b/>
                <w:bCs/>
              </w:rPr>
            </w:pPr>
            <w:r w:rsidRPr="006C4611">
              <w:rPr>
                <w:b/>
                <w:bCs/>
              </w:rPr>
              <w:t>MJERA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78DC" w14:textId="77777777" w:rsidR="006F5F0C" w:rsidRPr="006C4611" w:rsidRDefault="006F5F0C" w:rsidP="00851255">
            <w:pPr>
              <w:rPr>
                <w:b/>
                <w:bCs/>
              </w:rPr>
            </w:pPr>
            <w:r w:rsidRPr="006C4611">
              <w:rPr>
                <w:b/>
                <w:bCs/>
              </w:rPr>
              <w:t>DEMOGRAFSKA OBNOVA I ULAGANJE U LJUDSKE POTENCIJALE</w:t>
            </w:r>
          </w:p>
          <w:p w14:paraId="62BE8D0D" w14:textId="77777777" w:rsidR="006F5F0C" w:rsidRPr="006C4611" w:rsidRDefault="006F5F0C" w:rsidP="00851255"/>
          <w:p w14:paraId="43361299" w14:textId="6C5378F3" w:rsidR="006F5F0C" w:rsidRPr="006C4611" w:rsidRDefault="006F5F0C" w:rsidP="00851255">
            <w:pPr>
              <w:rPr>
                <w:lang w:val="hr-HR"/>
              </w:rPr>
            </w:pPr>
            <w:r w:rsidRPr="006C4611">
              <w:rPr>
                <w:lang w:val="hr-HR"/>
              </w:rPr>
              <w:t>Mjera  1. Stanovanje, odgoj i obrazovanje</w:t>
            </w:r>
          </w:p>
          <w:p w14:paraId="67A633E9" w14:textId="58E0777D" w:rsidR="006F5F0C" w:rsidRPr="006C4611" w:rsidRDefault="006F5F0C" w:rsidP="00851255">
            <w:pPr>
              <w:rPr>
                <w:lang w:val="hr-HR"/>
              </w:rPr>
            </w:pPr>
            <w:r w:rsidRPr="006C4611">
              <w:rPr>
                <w:lang w:val="hr-HR"/>
              </w:rPr>
              <w:t xml:space="preserve">Mjera </w:t>
            </w:r>
            <w:r w:rsidR="00013AA4" w:rsidRPr="006C4611">
              <w:rPr>
                <w:lang w:val="hr-HR"/>
              </w:rPr>
              <w:t>2</w:t>
            </w:r>
            <w:r w:rsidRPr="006C4611">
              <w:rPr>
                <w:lang w:val="hr-HR"/>
              </w:rPr>
              <w:t>. Lokalna uprava i administracija</w:t>
            </w:r>
          </w:p>
          <w:p w14:paraId="6E225AB1" w14:textId="6F4FF2B6" w:rsidR="006F5F0C" w:rsidRPr="006C4611" w:rsidRDefault="006F5F0C" w:rsidP="00851255">
            <w:pPr>
              <w:rPr>
                <w:lang w:val="hr-HR"/>
              </w:rPr>
            </w:pPr>
            <w:r w:rsidRPr="006C4611">
              <w:rPr>
                <w:lang w:val="hr-HR"/>
              </w:rPr>
              <w:t xml:space="preserve">Mjera </w:t>
            </w:r>
            <w:r w:rsidR="00013AA4" w:rsidRPr="006C4611">
              <w:rPr>
                <w:lang w:val="hr-HR"/>
              </w:rPr>
              <w:t>3</w:t>
            </w:r>
            <w:r w:rsidRPr="006C4611">
              <w:rPr>
                <w:lang w:val="hr-HR"/>
              </w:rPr>
              <w:t>. Demografija</w:t>
            </w:r>
          </w:p>
          <w:p w14:paraId="36FE2B77" w14:textId="77777777" w:rsidR="006F5F0C" w:rsidRPr="006C4611" w:rsidRDefault="006F5F0C" w:rsidP="00851255">
            <w:r w:rsidRPr="006C4611">
              <w:t xml:space="preserve"> </w:t>
            </w:r>
          </w:p>
        </w:tc>
      </w:tr>
      <w:tr w:rsidR="006F5F0C" w:rsidRPr="006C4611" w14:paraId="2303F829" w14:textId="77777777" w:rsidTr="00657836">
        <w:trPr>
          <w:cantSplit/>
          <w:trHeight w:val="1396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6DF993C" w14:textId="77777777" w:rsidR="006F5F0C" w:rsidRPr="006C4611" w:rsidRDefault="006F5F0C" w:rsidP="00851255">
            <w:pPr>
              <w:rPr>
                <w:b/>
                <w:bCs/>
              </w:rPr>
            </w:pPr>
            <w:r w:rsidRPr="006C4611">
              <w:rPr>
                <w:b/>
                <w:bCs/>
              </w:rPr>
              <w:t xml:space="preserve">PRIORITET </w:t>
            </w:r>
          </w:p>
          <w:p w14:paraId="7B06964B" w14:textId="77777777" w:rsidR="006F5F0C" w:rsidRPr="006C4611" w:rsidRDefault="006F5F0C" w:rsidP="00851255">
            <w:pPr>
              <w:rPr>
                <w:b/>
                <w:bCs/>
              </w:rPr>
            </w:pPr>
          </w:p>
          <w:p w14:paraId="46C0B30E" w14:textId="77777777" w:rsidR="006F5F0C" w:rsidRPr="006C4611" w:rsidRDefault="006F5F0C" w:rsidP="00851255">
            <w:pPr>
              <w:rPr>
                <w:b/>
                <w:bCs/>
              </w:rPr>
            </w:pPr>
            <w:r w:rsidRPr="006C4611">
              <w:rPr>
                <w:b/>
                <w:bCs/>
              </w:rPr>
              <w:t>MJERA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0B02" w14:textId="77777777" w:rsidR="006F5F0C" w:rsidRPr="006C4611" w:rsidRDefault="006F5F0C" w:rsidP="00851255">
            <w:pPr>
              <w:rPr>
                <w:b/>
                <w:bCs/>
                <w:lang w:val="hr-HR"/>
              </w:rPr>
            </w:pPr>
            <w:r w:rsidRPr="006C4611">
              <w:rPr>
                <w:b/>
                <w:bCs/>
                <w:lang w:val="hr-HR"/>
              </w:rPr>
              <w:t>POTICANJE GOSPODARSTVA I POLJOPRIVREDE</w:t>
            </w:r>
          </w:p>
          <w:p w14:paraId="088D2D49" w14:textId="77777777" w:rsidR="006F5F0C" w:rsidRPr="006C4611" w:rsidRDefault="006F5F0C" w:rsidP="00851255">
            <w:pPr>
              <w:rPr>
                <w:lang w:val="hr-HR"/>
              </w:rPr>
            </w:pPr>
          </w:p>
          <w:p w14:paraId="2B0F1007" w14:textId="6B9656A8" w:rsidR="006F5F0C" w:rsidRPr="006C4611" w:rsidRDefault="006F5F0C" w:rsidP="00851255">
            <w:pPr>
              <w:rPr>
                <w:lang w:val="hr-HR"/>
              </w:rPr>
            </w:pPr>
            <w:r w:rsidRPr="006C4611">
              <w:rPr>
                <w:lang w:val="hr-HR"/>
              </w:rPr>
              <w:t xml:space="preserve">Mjera </w:t>
            </w:r>
            <w:r w:rsidR="00013AA4" w:rsidRPr="006C4611">
              <w:rPr>
                <w:lang w:val="hr-HR"/>
              </w:rPr>
              <w:t>4</w:t>
            </w:r>
            <w:r w:rsidRPr="006C4611">
              <w:rPr>
                <w:lang w:val="hr-HR"/>
              </w:rPr>
              <w:t>. Gospodarski razvoj</w:t>
            </w:r>
          </w:p>
          <w:p w14:paraId="7BE6B375" w14:textId="77777777" w:rsidR="006F5F0C" w:rsidRPr="006C4611" w:rsidRDefault="006F5F0C" w:rsidP="00851255">
            <w:pPr>
              <w:rPr>
                <w:lang w:val="hr-HR"/>
              </w:rPr>
            </w:pPr>
          </w:p>
          <w:p w14:paraId="5C7F8451" w14:textId="77777777" w:rsidR="006F5F0C" w:rsidRPr="006C4611" w:rsidRDefault="006F5F0C" w:rsidP="00851255">
            <w:pPr>
              <w:rPr>
                <w:lang w:val="hr-HR"/>
              </w:rPr>
            </w:pPr>
          </w:p>
        </w:tc>
      </w:tr>
      <w:tr w:rsidR="006F5F0C" w:rsidRPr="006C4611" w14:paraId="3B25F8F6" w14:textId="77777777" w:rsidTr="00657836">
        <w:trPr>
          <w:cantSplit/>
          <w:trHeight w:val="2692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A54037A" w14:textId="77777777" w:rsidR="006F5F0C" w:rsidRPr="006C4611" w:rsidRDefault="006F5F0C" w:rsidP="00851255">
            <w:pPr>
              <w:rPr>
                <w:b/>
                <w:bCs/>
              </w:rPr>
            </w:pPr>
            <w:r w:rsidRPr="006C4611">
              <w:rPr>
                <w:b/>
                <w:bCs/>
              </w:rPr>
              <w:t xml:space="preserve">PRIORITET </w:t>
            </w:r>
          </w:p>
          <w:p w14:paraId="34163D35" w14:textId="77777777" w:rsidR="006F5F0C" w:rsidRPr="006C4611" w:rsidRDefault="006F5F0C" w:rsidP="00851255">
            <w:pPr>
              <w:rPr>
                <w:b/>
                <w:bCs/>
              </w:rPr>
            </w:pPr>
          </w:p>
          <w:p w14:paraId="5436E495" w14:textId="77777777" w:rsidR="006F5F0C" w:rsidRPr="006C4611" w:rsidRDefault="006F5F0C" w:rsidP="00851255">
            <w:pPr>
              <w:rPr>
                <w:b/>
                <w:bCs/>
              </w:rPr>
            </w:pPr>
          </w:p>
          <w:p w14:paraId="58EC0929" w14:textId="77777777" w:rsidR="006F5F0C" w:rsidRPr="006C4611" w:rsidRDefault="006F5F0C" w:rsidP="00851255">
            <w:pPr>
              <w:rPr>
                <w:b/>
                <w:bCs/>
              </w:rPr>
            </w:pPr>
          </w:p>
          <w:p w14:paraId="72284C59" w14:textId="77777777" w:rsidR="006F5F0C" w:rsidRPr="006C4611" w:rsidRDefault="006F5F0C" w:rsidP="00851255">
            <w:pPr>
              <w:rPr>
                <w:b/>
                <w:bCs/>
              </w:rPr>
            </w:pPr>
          </w:p>
          <w:p w14:paraId="0F05E619" w14:textId="77777777" w:rsidR="006F5F0C" w:rsidRPr="006C4611" w:rsidRDefault="006F5F0C" w:rsidP="00851255">
            <w:pPr>
              <w:rPr>
                <w:b/>
                <w:bCs/>
              </w:rPr>
            </w:pPr>
            <w:r w:rsidRPr="006C4611">
              <w:rPr>
                <w:b/>
                <w:bCs/>
              </w:rPr>
              <w:t>MJERA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18FB" w14:textId="77777777" w:rsidR="006F5F0C" w:rsidRPr="006C4611" w:rsidRDefault="006F5F0C" w:rsidP="00851255">
            <w:pPr>
              <w:rPr>
                <w:b/>
                <w:bCs/>
                <w:lang w:val="hr-HR"/>
              </w:rPr>
            </w:pPr>
            <w:r w:rsidRPr="006C4611">
              <w:rPr>
                <w:b/>
                <w:bCs/>
                <w:lang w:val="hr-HR"/>
              </w:rPr>
              <w:t>STVARANJE OKRUŽENJA ZA UGODAN ŽIVOT</w:t>
            </w:r>
          </w:p>
          <w:p w14:paraId="25205576" w14:textId="77777777" w:rsidR="006F5F0C" w:rsidRPr="006C4611" w:rsidRDefault="006F5F0C" w:rsidP="00851255">
            <w:pPr>
              <w:rPr>
                <w:lang w:val="hr-HR"/>
              </w:rPr>
            </w:pPr>
          </w:p>
          <w:p w14:paraId="5A698EBC" w14:textId="566D6AD2" w:rsidR="006F5F0C" w:rsidRPr="006C4611" w:rsidRDefault="006F5F0C" w:rsidP="00851255">
            <w:pPr>
              <w:rPr>
                <w:lang w:val="hr-HR"/>
              </w:rPr>
            </w:pPr>
            <w:r w:rsidRPr="006C4611">
              <w:rPr>
                <w:lang w:val="hr-HR"/>
              </w:rPr>
              <w:t xml:space="preserve">Mjera </w:t>
            </w:r>
            <w:r w:rsidR="00013AA4" w:rsidRPr="006C4611">
              <w:rPr>
                <w:lang w:val="hr-HR"/>
              </w:rPr>
              <w:t>5</w:t>
            </w:r>
            <w:r w:rsidRPr="006C4611">
              <w:rPr>
                <w:lang w:val="hr-HR"/>
              </w:rPr>
              <w:t>. Kultura, tjelesna kultura i sport</w:t>
            </w:r>
          </w:p>
          <w:p w14:paraId="6FB2D86E" w14:textId="203E9B9B" w:rsidR="006F5F0C" w:rsidRPr="006C4611" w:rsidRDefault="006F5F0C" w:rsidP="00851255">
            <w:pPr>
              <w:rPr>
                <w:lang w:val="hr-HR"/>
              </w:rPr>
            </w:pPr>
          </w:p>
        </w:tc>
      </w:tr>
    </w:tbl>
    <w:p w14:paraId="67350B15" w14:textId="5A7B3CD9" w:rsidR="006F5F0C" w:rsidRPr="006C4611" w:rsidRDefault="006F5F0C">
      <w:pPr>
        <w:spacing w:line="259" w:lineRule="auto"/>
        <w:jc w:val="left"/>
      </w:pPr>
    </w:p>
    <w:p w14:paraId="462A24B2" w14:textId="3C32F57B" w:rsidR="00657836" w:rsidRPr="006C4611" w:rsidRDefault="00657836" w:rsidP="000920DD"/>
    <w:p w14:paraId="478BEF94" w14:textId="77777777" w:rsidR="00657836" w:rsidRPr="006C4611" w:rsidRDefault="00657836">
      <w:pPr>
        <w:spacing w:line="259" w:lineRule="auto"/>
        <w:jc w:val="left"/>
        <w:sectPr w:rsidR="00657836" w:rsidRPr="006C4611" w:rsidSect="00162103">
          <w:footerReference w:type="default" r:id="rId1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449E67B" w14:textId="77777777" w:rsidR="00657836" w:rsidRPr="006C4611" w:rsidRDefault="00657836" w:rsidP="00657836">
      <w:pPr>
        <w:pStyle w:val="Heading2"/>
      </w:pPr>
      <w:bookmarkStart w:id="18" w:name="_Toc213328509"/>
      <w:r w:rsidRPr="006C4611">
        <w:lastRenderedPageBreak/>
        <w:t xml:space="preserve">10.1. </w:t>
      </w:r>
      <w:bookmarkStart w:id="19" w:name="_Toc212804314"/>
      <w:r w:rsidRPr="006C4611">
        <w:t>Planirane mjere i aktivnosti u 2026. godini</w:t>
      </w:r>
      <w:bookmarkEnd w:id="18"/>
      <w:bookmarkEnd w:id="19"/>
    </w:p>
    <w:tbl>
      <w:tblPr>
        <w:tblStyle w:val="TableGrid"/>
        <w:tblW w:w="0" w:type="auto"/>
        <w:tblInd w:w="141" w:type="dxa"/>
        <w:tblLook w:val="04A0" w:firstRow="1" w:lastRow="0" w:firstColumn="1" w:lastColumn="0" w:noHBand="0" w:noVBand="1"/>
      </w:tblPr>
      <w:tblGrid>
        <w:gridCol w:w="790"/>
        <w:gridCol w:w="3911"/>
        <w:gridCol w:w="2683"/>
        <w:gridCol w:w="1877"/>
        <w:gridCol w:w="1836"/>
        <w:gridCol w:w="2756"/>
      </w:tblGrid>
      <w:tr w:rsidR="00657836" w:rsidRPr="006C4611" w14:paraId="7A7A0FCD" w14:textId="77777777" w:rsidTr="00657836">
        <w:tc>
          <w:tcPr>
            <w:tcW w:w="790" w:type="dxa"/>
            <w:shd w:val="clear" w:color="auto" w:fill="B4C6E7" w:themeFill="accent1" w:themeFillTint="66"/>
            <w:vAlign w:val="center"/>
          </w:tcPr>
          <w:p w14:paraId="6D7C2EDE" w14:textId="77777777" w:rsidR="00657836" w:rsidRPr="006C4611" w:rsidRDefault="00657836" w:rsidP="00851255">
            <w:pPr>
              <w:spacing w:line="240" w:lineRule="auto"/>
              <w:jc w:val="center"/>
            </w:pPr>
            <w:proofErr w:type="spellStart"/>
            <w:r w:rsidRPr="006C4611">
              <w:t>Redni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broj</w:t>
            </w:r>
            <w:proofErr w:type="spellEnd"/>
          </w:p>
        </w:tc>
        <w:tc>
          <w:tcPr>
            <w:tcW w:w="3911" w:type="dxa"/>
            <w:shd w:val="clear" w:color="auto" w:fill="B4C6E7" w:themeFill="accent1" w:themeFillTint="66"/>
            <w:vAlign w:val="center"/>
          </w:tcPr>
          <w:p w14:paraId="501EDCBB" w14:textId="77777777" w:rsidR="00657836" w:rsidRPr="006C4611" w:rsidRDefault="00657836" w:rsidP="00851255">
            <w:pPr>
              <w:spacing w:line="240" w:lineRule="auto"/>
              <w:jc w:val="center"/>
            </w:pPr>
            <w:proofErr w:type="spellStart"/>
            <w:r w:rsidRPr="006C4611">
              <w:t>Mjere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i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ciljevi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iz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djelokruga</w:t>
            </w:r>
            <w:proofErr w:type="spellEnd"/>
            <w:r w:rsidRPr="006C4611">
              <w:t xml:space="preserve"> rada</w:t>
            </w:r>
          </w:p>
        </w:tc>
        <w:tc>
          <w:tcPr>
            <w:tcW w:w="2683" w:type="dxa"/>
            <w:shd w:val="clear" w:color="auto" w:fill="B4C6E7" w:themeFill="accent1" w:themeFillTint="66"/>
            <w:vAlign w:val="center"/>
          </w:tcPr>
          <w:p w14:paraId="4B06C2EE" w14:textId="77777777" w:rsidR="00657836" w:rsidRPr="006C4611" w:rsidRDefault="00657836" w:rsidP="00851255">
            <w:pPr>
              <w:spacing w:line="240" w:lineRule="auto"/>
              <w:jc w:val="center"/>
            </w:pPr>
            <w:proofErr w:type="spellStart"/>
            <w:r w:rsidRPr="006C4611">
              <w:t>Pokazatelji</w:t>
            </w:r>
            <w:proofErr w:type="spellEnd"/>
            <w:r w:rsidRPr="006C4611">
              <w:t xml:space="preserve"> (</w:t>
            </w:r>
            <w:proofErr w:type="spellStart"/>
            <w:r w:rsidRPr="006C4611">
              <w:t>ishod</w:t>
            </w:r>
            <w:proofErr w:type="spellEnd"/>
            <w:r w:rsidRPr="006C4611">
              <w:t xml:space="preserve">, </w:t>
            </w:r>
            <w:proofErr w:type="spellStart"/>
            <w:r w:rsidRPr="006C4611">
              <w:t>rezultat</w:t>
            </w:r>
            <w:proofErr w:type="spellEnd"/>
            <w:r w:rsidRPr="006C4611">
              <w:t>)</w:t>
            </w:r>
          </w:p>
        </w:tc>
        <w:tc>
          <w:tcPr>
            <w:tcW w:w="1877" w:type="dxa"/>
            <w:shd w:val="clear" w:color="auto" w:fill="B4C6E7" w:themeFill="accent1" w:themeFillTint="66"/>
            <w:vAlign w:val="center"/>
          </w:tcPr>
          <w:p w14:paraId="5D710BDC" w14:textId="77777777" w:rsidR="00657836" w:rsidRPr="006C4611" w:rsidRDefault="00657836" w:rsidP="00851255">
            <w:pPr>
              <w:spacing w:line="240" w:lineRule="auto"/>
              <w:jc w:val="center"/>
            </w:pPr>
            <w:proofErr w:type="spellStart"/>
            <w:r w:rsidRPr="006C4611">
              <w:t>Trenutačna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vrijednost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pokazatelja</w:t>
            </w:r>
            <w:proofErr w:type="spellEnd"/>
          </w:p>
        </w:tc>
        <w:tc>
          <w:tcPr>
            <w:tcW w:w="1836" w:type="dxa"/>
            <w:shd w:val="clear" w:color="auto" w:fill="B4C6E7" w:themeFill="accent1" w:themeFillTint="66"/>
            <w:vAlign w:val="center"/>
          </w:tcPr>
          <w:p w14:paraId="54E0EA3C" w14:textId="77777777" w:rsidR="00657836" w:rsidRPr="006C4611" w:rsidRDefault="00657836" w:rsidP="00851255">
            <w:pPr>
              <w:spacing w:line="240" w:lineRule="auto"/>
              <w:jc w:val="center"/>
            </w:pPr>
            <w:proofErr w:type="spellStart"/>
            <w:r w:rsidRPr="006C4611">
              <w:t>Planirana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vrijednost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pokazatelja</w:t>
            </w:r>
            <w:proofErr w:type="spellEnd"/>
          </w:p>
        </w:tc>
        <w:tc>
          <w:tcPr>
            <w:tcW w:w="2756" w:type="dxa"/>
            <w:shd w:val="clear" w:color="auto" w:fill="B4C6E7" w:themeFill="accent1" w:themeFillTint="66"/>
            <w:vAlign w:val="center"/>
          </w:tcPr>
          <w:p w14:paraId="5386EE8A" w14:textId="77777777" w:rsidR="00657836" w:rsidRPr="006C4611" w:rsidRDefault="00657836" w:rsidP="00851255">
            <w:pPr>
              <w:spacing w:line="240" w:lineRule="auto"/>
              <w:jc w:val="center"/>
            </w:pPr>
            <w:proofErr w:type="spellStart"/>
            <w:r w:rsidRPr="006C4611">
              <w:t>Referenca</w:t>
            </w:r>
            <w:proofErr w:type="spellEnd"/>
          </w:p>
        </w:tc>
      </w:tr>
      <w:tr w:rsidR="00657836" w:rsidRPr="006C4611" w14:paraId="65CD9C4B" w14:textId="77777777" w:rsidTr="00657836">
        <w:trPr>
          <w:trHeight w:val="204"/>
        </w:trPr>
        <w:tc>
          <w:tcPr>
            <w:tcW w:w="790" w:type="dxa"/>
            <w:vMerge w:val="restart"/>
            <w:vAlign w:val="center"/>
          </w:tcPr>
          <w:p w14:paraId="37BD2C5A" w14:textId="77777777" w:rsidR="00657836" w:rsidRPr="006C4611" w:rsidRDefault="00657836" w:rsidP="00851255">
            <w:pPr>
              <w:jc w:val="center"/>
            </w:pPr>
            <w:r w:rsidRPr="006C4611">
              <w:t xml:space="preserve">1. </w:t>
            </w:r>
          </w:p>
        </w:tc>
        <w:tc>
          <w:tcPr>
            <w:tcW w:w="3911" w:type="dxa"/>
            <w:vMerge w:val="restart"/>
            <w:vAlign w:val="center"/>
          </w:tcPr>
          <w:p w14:paraId="6F5B3C5A" w14:textId="77777777" w:rsidR="00657836" w:rsidRPr="006C4611" w:rsidRDefault="00657836" w:rsidP="00851255">
            <w:pPr>
              <w:jc w:val="center"/>
            </w:pPr>
            <w:proofErr w:type="spellStart"/>
            <w:r w:rsidRPr="006C4611">
              <w:t>Stanovanje</w:t>
            </w:r>
            <w:proofErr w:type="spellEnd"/>
            <w:r w:rsidRPr="006C4611">
              <w:t xml:space="preserve">, </w:t>
            </w:r>
            <w:proofErr w:type="spellStart"/>
            <w:r w:rsidRPr="006C4611">
              <w:t>odgoj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i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obrazovanje</w:t>
            </w:r>
            <w:proofErr w:type="spellEnd"/>
          </w:p>
        </w:tc>
        <w:tc>
          <w:tcPr>
            <w:tcW w:w="2683" w:type="dxa"/>
          </w:tcPr>
          <w:p w14:paraId="1A2749B9" w14:textId="22101B87" w:rsidR="00657836" w:rsidRPr="006C4611" w:rsidRDefault="00657836" w:rsidP="00851255">
            <w:r w:rsidRPr="006C4611">
              <w:rPr>
                <w:lang w:val="hr-HR"/>
              </w:rPr>
              <w:t>Broj prijavljenih projekata</w:t>
            </w:r>
          </w:p>
        </w:tc>
        <w:tc>
          <w:tcPr>
            <w:tcW w:w="1877" w:type="dxa"/>
            <w:vAlign w:val="center"/>
          </w:tcPr>
          <w:p w14:paraId="70440FF4" w14:textId="17B396CD" w:rsidR="00657836" w:rsidRPr="006C4611" w:rsidRDefault="00933BDE" w:rsidP="00851255">
            <w:pPr>
              <w:jc w:val="center"/>
            </w:pPr>
            <w:r w:rsidRPr="006C4611">
              <w:t>154</w:t>
            </w:r>
          </w:p>
        </w:tc>
        <w:tc>
          <w:tcPr>
            <w:tcW w:w="1836" w:type="dxa"/>
            <w:vAlign w:val="center"/>
          </w:tcPr>
          <w:p w14:paraId="7E24E3FF" w14:textId="058257F3" w:rsidR="00657836" w:rsidRPr="006C4611" w:rsidRDefault="00933BDE" w:rsidP="00851255">
            <w:pPr>
              <w:jc w:val="center"/>
            </w:pPr>
            <w:r w:rsidRPr="006C4611">
              <w:t>170</w:t>
            </w:r>
          </w:p>
        </w:tc>
        <w:tc>
          <w:tcPr>
            <w:tcW w:w="2756" w:type="dxa"/>
          </w:tcPr>
          <w:p w14:paraId="3802FDC1" w14:textId="200EB5E6" w:rsidR="00657836" w:rsidRPr="006C4611" w:rsidRDefault="00657836" w:rsidP="00851255">
            <w:pPr>
              <w:spacing w:line="240" w:lineRule="auto"/>
            </w:pPr>
            <w:r w:rsidRPr="006C4611">
              <w:t xml:space="preserve">SC 12 </w:t>
            </w:r>
            <w:proofErr w:type="spellStart"/>
            <w:r w:rsidRPr="006C4611">
              <w:t>Razvoj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potpomognutih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područja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i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područja</w:t>
            </w:r>
            <w:proofErr w:type="spellEnd"/>
            <w:r w:rsidRPr="006C4611">
              <w:t xml:space="preserve"> s </w:t>
            </w:r>
            <w:proofErr w:type="spellStart"/>
            <w:r w:rsidRPr="006C4611">
              <w:t>razvojnim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posebnostima</w:t>
            </w:r>
            <w:proofErr w:type="spellEnd"/>
          </w:p>
        </w:tc>
      </w:tr>
      <w:tr w:rsidR="00657836" w:rsidRPr="006C4611" w14:paraId="3314C8A0" w14:textId="77777777" w:rsidTr="00657836">
        <w:trPr>
          <w:trHeight w:val="204"/>
        </w:trPr>
        <w:tc>
          <w:tcPr>
            <w:tcW w:w="790" w:type="dxa"/>
            <w:vMerge/>
            <w:vAlign w:val="center"/>
          </w:tcPr>
          <w:p w14:paraId="1BF1D884" w14:textId="77777777" w:rsidR="00657836" w:rsidRPr="006C4611" w:rsidRDefault="00657836" w:rsidP="00851255">
            <w:pPr>
              <w:jc w:val="center"/>
            </w:pPr>
          </w:p>
        </w:tc>
        <w:tc>
          <w:tcPr>
            <w:tcW w:w="3911" w:type="dxa"/>
            <w:vMerge/>
            <w:vAlign w:val="center"/>
          </w:tcPr>
          <w:p w14:paraId="280C0FAE" w14:textId="77777777" w:rsidR="00657836" w:rsidRPr="006C4611" w:rsidRDefault="00657836" w:rsidP="00851255">
            <w:pPr>
              <w:jc w:val="center"/>
            </w:pPr>
          </w:p>
        </w:tc>
        <w:tc>
          <w:tcPr>
            <w:tcW w:w="2683" w:type="dxa"/>
          </w:tcPr>
          <w:p w14:paraId="71C243E0" w14:textId="40E30A65" w:rsidR="00657836" w:rsidRPr="006C4611" w:rsidRDefault="00657836" w:rsidP="00851255">
            <w:pPr>
              <w:spacing w:line="240" w:lineRule="auto"/>
            </w:pPr>
            <w:r w:rsidRPr="006C4611">
              <w:rPr>
                <w:lang w:val="hr-HR"/>
              </w:rPr>
              <w:t>Broj odobrenih projekata</w:t>
            </w:r>
          </w:p>
        </w:tc>
        <w:tc>
          <w:tcPr>
            <w:tcW w:w="1877" w:type="dxa"/>
            <w:vAlign w:val="center"/>
          </w:tcPr>
          <w:p w14:paraId="44B2D505" w14:textId="26E5C66A" w:rsidR="00657836" w:rsidRPr="006C4611" w:rsidRDefault="00933BDE" w:rsidP="00851255">
            <w:pPr>
              <w:jc w:val="center"/>
            </w:pPr>
            <w:r w:rsidRPr="006C4611">
              <w:t>94</w:t>
            </w:r>
          </w:p>
        </w:tc>
        <w:tc>
          <w:tcPr>
            <w:tcW w:w="1836" w:type="dxa"/>
            <w:vAlign w:val="center"/>
          </w:tcPr>
          <w:p w14:paraId="1BA30958" w14:textId="025C6859" w:rsidR="00657836" w:rsidRPr="006C4611" w:rsidRDefault="00933BDE" w:rsidP="00851255">
            <w:pPr>
              <w:jc w:val="center"/>
            </w:pPr>
            <w:r w:rsidRPr="006C4611">
              <w:t>100</w:t>
            </w:r>
          </w:p>
        </w:tc>
        <w:tc>
          <w:tcPr>
            <w:tcW w:w="2756" w:type="dxa"/>
          </w:tcPr>
          <w:p w14:paraId="151A755A" w14:textId="102CA4A6" w:rsidR="00657836" w:rsidRPr="006C4611" w:rsidRDefault="00657836" w:rsidP="00851255">
            <w:pPr>
              <w:spacing w:line="240" w:lineRule="auto"/>
            </w:pPr>
            <w:r w:rsidRPr="006C4611">
              <w:t xml:space="preserve">SC 12 </w:t>
            </w:r>
            <w:proofErr w:type="spellStart"/>
            <w:r w:rsidRPr="006C4611">
              <w:t>Razvoj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potpomognutih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područja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i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područja</w:t>
            </w:r>
            <w:proofErr w:type="spellEnd"/>
            <w:r w:rsidRPr="006C4611">
              <w:t xml:space="preserve"> s </w:t>
            </w:r>
            <w:proofErr w:type="spellStart"/>
            <w:r w:rsidRPr="006C4611">
              <w:t>razvojnim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posebnostima</w:t>
            </w:r>
            <w:proofErr w:type="spellEnd"/>
          </w:p>
        </w:tc>
      </w:tr>
      <w:tr w:rsidR="00657836" w:rsidRPr="006C4611" w14:paraId="216D2B15" w14:textId="77777777" w:rsidTr="00657836">
        <w:trPr>
          <w:trHeight w:val="204"/>
        </w:trPr>
        <w:tc>
          <w:tcPr>
            <w:tcW w:w="790" w:type="dxa"/>
            <w:vMerge/>
            <w:vAlign w:val="center"/>
          </w:tcPr>
          <w:p w14:paraId="793B150D" w14:textId="77777777" w:rsidR="00657836" w:rsidRPr="006C4611" w:rsidRDefault="00657836" w:rsidP="00851255">
            <w:pPr>
              <w:jc w:val="center"/>
            </w:pPr>
          </w:p>
        </w:tc>
        <w:tc>
          <w:tcPr>
            <w:tcW w:w="3911" w:type="dxa"/>
            <w:vMerge/>
            <w:vAlign w:val="center"/>
          </w:tcPr>
          <w:p w14:paraId="6AA38A08" w14:textId="77777777" w:rsidR="00657836" w:rsidRPr="006C4611" w:rsidRDefault="00657836" w:rsidP="00851255">
            <w:pPr>
              <w:jc w:val="center"/>
            </w:pPr>
          </w:p>
        </w:tc>
        <w:tc>
          <w:tcPr>
            <w:tcW w:w="2683" w:type="dxa"/>
          </w:tcPr>
          <w:p w14:paraId="1EF34DEB" w14:textId="73DABD9D" w:rsidR="00657836" w:rsidRPr="006C4611" w:rsidRDefault="00657836" w:rsidP="00851255">
            <w:pPr>
              <w:spacing w:line="240" w:lineRule="auto"/>
            </w:pPr>
            <w:r w:rsidRPr="006C4611">
              <w:rPr>
                <w:lang w:val="hr-HR"/>
              </w:rPr>
              <w:t>Broj suradnji s obrazovnim ustanovama</w:t>
            </w:r>
          </w:p>
        </w:tc>
        <w:tc>
          <w:tcPr>
            <w:tcW w:w="1877" w:type="dxa"/>
            <w:vAlign w:val="center"/>
          </w:tcPr>
          <w:p w14:paraId="7700F142" w14:textId="04F03710" w:rsidR="00657836" w:rsidRPr="006C4611" w:rsidRDefault="00657836" w:rsidP="00851255">
            <w:pPr>
              <w:jc w:val="center"/>
            </w:pPr>
            <w:r w:rsidRPr="006C4611">
              <w:t>7</w:t>
            </w:r>
          </w:p>
        </w:tc>
        <w:tc>
          <w:tcPr>
            <w:tcW w:w="1836" w:type="dxa"/>
            <w:vAlign w:val="center"/>
          </w:tcPr>
          <w:p w14:paraId="7A34565A" w14:textId="0E7D187D" w:rsidR="00657836" w:rsidRPr="006C4611" w:rsidRDefault="00657836" w:rsidP="00851255">
            <w:pPr>
              <w:jc w:val="center"/>
            </w:pPr>
            <w:r w:rsidRPr="006C4611">
              <w:t>9</w:t>
            </w:r>
          </w:p>
        </w:tc>
        <w:tc>
          <w:tcPr>
            <w:tcW w:w="2756" w:type="dxa"/>
          </w:tcPr>
          <w:p w14:paraId="44E1B1C2" w14:textId="2D716C9C" w:rsidR="00657836" w:rsidRPr="006C4611" w:rsidRDefault="00657836" w:rsidP="00851255">
            <w:pPr>
              <w:spacing w:line="240" w:lineRule="auto"/>
            </w:pPr>
            <w:r w:rsidRPr="006C4611">
              <w:t xml:space="preserve">SC 12 </w:t>
            </w:r>
            <w:proofErr w:type="spellStart"/>
            <w:r w:rsidRPr="006C4611">
              <w:t>Razvoj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potpomognutih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područja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i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područja</w:t>
            </w:r>
            <w:proofErr w:type="spellEnd"/>
            <w:r w:rsidRPr="006C4611">
              <w:t xml:space="preserve"> s </w:t>
            </w:r>
            <w:proofErr w:type="spellStart"/>
            <w:r w:rsidRPr="006C4611">
              <w:t>razvojnim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posebnostim</w:t>
            </w:r>
            <w:r w:rsidR="00013AA4" w:rsidRPr="006C4611">
              <w:t>a</w:t>
            </w:r>
            <w:proofErr w:type="spellEnd"/>
          </w:p>
        </w:tc>
      </w:tr>
      <w:tr w:rsidR="00013AA4" w:rsidRPr="006C4611" w14:paraId="3F146008" w14:textId="77777777" w:rsidTr="00657836">
        <w:trPr>
          <w:trHeight w:val="204"/>
        </w:trPr>
        <w:tc>
          <w:tcPr>
            <w:tcW w:w="790" w:type="dxa"/>
            <w:vMerge w:val="restart"/>
            <w:vAlign w:val="center"/>
          </w:tcPr>
          <w:p w14:paraId="741A82AB" w14:textId="74B724E7" w:rsidR="00013AA4" w:rsidRPr="006C4611" w:rsidRDefault="00013AA4" w:rsidP="00851255">
            <w:pPr>
              <w:jc w:val="center"/>
            </w:pPr>
            <w:r w:rsidRPr="006C4611">
              <w:t xml:space="preserve"> 2. </w:t>
            </w:r>
          </w:p>
        </w:tc>
        <w:tc>
          <w:tcPr>
            <w:tcW w:w="3911" w:type="dxa"/>
            <w:vMerge w:val="restart"/>
            <w:vAlign w:val="center"/>
          </w:tcPr>
          <w:p w14:paraId="22CDCCF7" w14:textId="77777777" w:rsidR="00013AA4" w:rsidRPr="006C4611" w:rsidRDefault="00013AA4" w:rsidP="00013AA4">
            <w:pPr>
              <w:rPr>
                <w:lang w:val="hr-HR"/>
              </w:rPr>
            </w:pPr>
          </w:p>
          <w:p w14:paraId="3813C33F" w14:textId="2A68A133" w:rsidR="00013AA4" w:rsidRPr="006C4611" w:rsidRDefault="00013AA4" w:rsidP="00851255">
            <w:pPr>
              <w:jc w:val="center"/>
            </w:pPr>
            <w:r w:rsidRPr="006C4611">
              <w:rPr>
                <w:lang w:val="hr-HR"/>
              </w:rPr>
              <w:t>Lokalna uprava i administracija</w:t>
            </w:r>
            <w:r w:rsidRPr="006C4611">
              <w:t xml:space="preserve"> </w:t>
            </w:r>
          </w:p>
        </w:tc>
        <w:tc>
          <w:tcPr>
            <w:tcW w:w="2683" w:type="dxa"/>
          </w:tcPr>
          <w:p w14:paraId="69361BBB" w14:textId="32BDC443" w:rsidR="00013AA4" w:rsidRPr="006C4611" w:rsidRDefault="00013AA4" w:rsidP="00851255">
            <w:pPr>
              <w:spacing w:line="240" w:lineRule="auto"/>
            </w:pPr>
            <w:r w:rsidRPr="006C4611">
              <w:rPr>
                <w:lang w:val="hr-HR"/>
              </w:rPr>
              <w:t>Broj seminara/edukacija zaposlenika</w:t>
            </w:r>
          </w:p>
        </w:tc>
        <w:tc>
          <w:tcPr>
            <w:tcW w:w="1877" w:type="dxa"/>
            <w:vAlign w:val="center"/>
          </w:tcPr>
          <w:p w14:paraId="5BD2B896" w14:textId="07C77E82" w:rsidR="00013AA4" w:rsidRPr="006C4611" w:rsidRDefault="00013AA4" w:rsidP="00851255">
            <w:pPr>
              <w:jc w:val="center"/>
            </w:pPr>
            <w:r w:rsidRPr="006C4611">
              <w:t>3</w:t>
            </w:r>
          </w:p>
        </w:tc>
        <w:tc>
          <w:tcPr>
            <w:tcW w:w="1836" w:type="dxa"/>
            <w:vAlign w:val="center"/>
          </w:tcPr>
          <w:p w14:paraId="3E0042A9" w14:textId="0B4CF262" w:rsidR="00013AA4" w:rsidRPr="006C4611" w:rsidRDefault="00013AA4" w:rsidP="00851255">
            <w:pPr>
              <w:jc w:val="center"/>
            </w:pPr>
            <w:r w:rsidRPr="006C4611">
              <w:t>4</w:t>
            </w:r>
          </w:p>
        </w:tc>
        <w:tc>
          <w:tcPr>
            <w:tcW w:w="2756" w:type="dxa"/>
          </w:tcPr>
          <w:p w14:paraId="2B0A2403" w14:textId="65F2C4B6" w:rsidR="00013AA4" w:rsidRPr="006C4611" w:rsidRDefault="00013AA4" w:rsidP="00851255">
            <w:pPr>
              <w:spacing w:line="240" w:lineRule="auto"/>
            </w:pPr>
            <w:r w:rsidRPr="006C4611">
              <w:t xml:space="preserve">SC3. </w:t>
            </w:r>
            <w:proofErr w:type="spellStart"/>
            <w:r w:rsidRPr="006C4611">
              <w:t>Učinkovito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i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djelotvorno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pravosuđe</w:t>
            </w:r>
            <w:proofErr w:type="spellEnd"/>
            <w:r w:rsidRPr="006C4611">
              <w:t xml:space="preserve">, </w:t>
            </w:r>
            <w:proofErr w:type="spellStart"/>
            <w:r w:rsidRPr="006C4611">
              <w:t>javna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uprava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i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upravljanje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državnom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imovinom</w:t>
            </w:r>
            <w:proofErr w:type="spellEnd"/>
          </w:p>
        </w:tc>
      </w:tr>
      <w:tr w:rsidR="00013AA4" w:rsidRPr="006C4611" w14:paraId="03061186" w14:textId="77777777" w:rsidTr="00657836">
        <w:trPr>
          <w:trHeight w:val="204"/>
        </w:trPr>
        <w:tc>
          <w:tcPr>
            <w:tcW w:w="790" w:type="dxa"/>
            <w:vMerge/>
            <w:vAlign w:val="center"/>
          </w:tcPr>
          <w:p w14:paraId="05D164A2" w14:textId="77777777" w:rsidR="00013AA4" w:rsidRPr="006C4611" w:rsidRDefault="00013AA4" w:rsidP="00851255">
            <w:pPr>
              <w:jc w:val="center"/>
            </w:pPr>
          </w:p>
        </w:tc>
        <w:tc>
          <w:tcPr>
            <w:tcW w:w="3911" w:type="dxa"/>
            <w:vMerge/>
            <w:vAlign w:val="center"/>
          </w:tcPr>
          <w:p w14:paraId="4D0E4DBA" w14:textId="77777777" w:rsidR="00013AA4" w:rsidRPr="006C4611" w:rsidRDefault="00013AA4" w:rsidP="00013AA4"/>
        </w:tc>
        <w:tc>
          <w:tcPr>
            <w:tcW w:w="2683" w:type="dxa"/>
          </w:tcPr>
          <w:p w14:paraId="38C8BF39" w14:textId="0562E97A" w:rsidR="00013AA4" w:rsidRPr="006C4611" w:rsidRDefault="00013AA4" w:rsidP="00851255">
            <w:pPr>
              <w:spacing w:line="240" w:lineRule="auto"/>
            </w:pPr>
            <w:r w:rsidRPr="006C4611">
              <w:rPr>
                <w:lang w:val="hr-HR"/>
              </w:rPr>
              <w:t>Broj održanih upravnih vijeća</w:t>
            </w:r>
          </w:p>
        </w:tc>
        <w:tc>
          <w:tcPr>
            <w:tcW w:w="1877" w:type="dxa"/>
            <w:vAlign w:val="center"/>
          </w:tcPr>
          <w:p w14:paraId="085CC1B5" w14:textId="795F12C3" w:rsidR="00013AA4" w:rsidRPr="006C4611" w:rsidRDefault="00013AA4" w:rsidP="00851255">
            <w:pPr>
              <w:jc w:val="center"/>
            </w:pPr>
            <w:r w:rsidRPr="006C4611">
              <w:t>3</w:t>
            </w:r>
          </w:p>
        </w:tc>
        <w:tc>
          <w:tcPr>
            <w:tcW w:w="1836" w:type="dxa"/>
            <w:vAlign w:val="center"/>
          </w:tcPr>
          <w:p w14:paraId="697FE19E" w14:textId="4F5FAB4A" w:rsidR="00013AA4" w:rsidRPr="006C4611" w:rsidRDefault="00013AA4" w:rsidP="00851255">
            <w:pPr>
              <w:jc w:val="center"/>
            </w:pPr>
            <w:r w:rsidRPr="006C4611">
              <w:t>3</w:t>
            </w:r>
          </w:p>
        </w:tc>
        <w:tc>
          <w:tcPr>
            <w:tcW w:w="2756" w:type="dxa"/>
          </w:tcPr>
          <w:p w14:paraId="69FF5252" w14:textId="408B2652" w:rsidR="00013AA4" w:rsidRPr="006C4611" w:rsidRDefault="00013AA4" w:rsidP="00851255">
            <w:pPr>
              <w:spacing w:line="240" w:lineRule="auto"/>
            </w:pPr>
            <w:r w:rsidRPr="006C4611">
              <w:t xml:space="preserve">SC3. </w:t>
            </w:r>
            <w:proofErr w:type="spellStart"/>
            <w:r w:rsidRPr="006C4611">
              <w:t>Učinkovito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i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djelotvorno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pravosuđe</w:t>
            </w:r>
            <w:proofErr w:type="spellEnd"/>
            <w:r w:rsidRPr="006C4611">
              <w:t xml:space="preserve">, </w:t>
            </w:r>
            <w:proofErr w:type="spellStart"/>
            <w:r w:rsidRPr="006C4611">
              <w:t>javna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uprava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i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upravljanje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državnom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imovinom</w:t>
            </w:r>
            <w:proofErr w:type="spellEnd"/>
          </w:p>
        </w:tc>
      </w:tr>
      <w:tr w:rsidR="00013AA4" w:rsidRPr="006C4611" w14:paraId="6CC79AAD" w14:textId="77777777" w:rsidTr="00013AA4">
        <w:trPr>
          <w:trHeight w:val="204"/>
        </w:trPr>
        <w:tc>
          <w:tcPr>
            <w:tcW w:w="790" w:type="dxa"/>
            <w:vAlign w:val="center"/>
          </w:tcPr>
          <w:p w14:paraId="54D890A7" w14:textId="12A84E99" w:rsidR="00013AA4" w:rsidRPr="006C4611" w:rsidRDefault="00013AA4" w:rsidP="00851255">
            <w:pPr>
              <w:jc w:val="center"/>
            </w:pPr>
            <w:r w:rsidRPr="006C4611">
              <w:t>3.</w:t>
            </w:r>
          </w:p>
        </w:tc>
        <w:tc>
          <w:tcPr>
            <w:tcW w:w="3911" w:type="dxa"/>
            <w:vAlign w:val="center"/>
          </w:tcPr>
          <w:p w14:paraId="59B70E6E" w14:textId="77777777" w:rsidR="00013AA4" w:rsidRPr="006C4611" w:rsidRDefault="00013AA4" w:rsidP="00013AA4">
            <w:pPr>
              <w:jc w:val="center"/>
              <w:rPr>
                <w:lang w:val="hr-HR"/>
              </w:rPr>
            </w:pPr>
          </w:p>
          <w:p w14:paraId="13323741" w14:textId="105ADD71" w:rsidR="00013AA4" w:rsidRPr="006C4611" w:rsidRDefault="00013AA4" w:rsidP="00065432">
            <w:pPr>
              <w:jc w:val="center"/>
            </w:pPr>
            <w:r w:rsidRPr="006C4611">
              <w:rPr>
                <w:lang w:val="hr-HR"/>
              </w:rPr>
              <w:t>Demografija</w:t>
            </w:r>
          </w:p>
        </w:tc>
        <w:tc>
          <w:tcPr>
            <w:tcW w:w="2683" w:type="dxa"/>
          </w:tcPr>
          <w:p w14:paraId="087E7143" w14:textId="65B81343" w:rsidR="00013AA4" w:rsidRPr="006C4611" w:rsidRDefault="00013AA4" w:rsidP="00851255">
            <w:pPr>
              <w:spacing w:line="240" w:lineRule="auto"/>
            </w:pPr>
            <w:r w:rsidRPr="006C4611">
              <w:rPr>
                <w:lang w:val="hr-HR"/>
              </w:rPr>
              <w:t>Broj stanovnika obuhvaćenih projektima</w:t>
            </w:r>
          </w:p>
        </w:tc>
        <w:tc>
          <w:tcPr>
            <w:tcW w:w="1877" w:type="dxa"/>
            <w:vAlign w:val="center"/>
          </w:tcPr>
          <w:p w14:paraId="75CBD71A" w14:textId="4D01C2E8" w:rsidR="00013AA4" w:rsidRPr="006C4611" w:rsidRDefault="00013AA4" w:rsidP="00851255">
            <w:pPr>
              <w:jc w:val="center"/>
            </w:pPr>
            <w:r w:rsidRPr="006C4611">
              <w:t>9.091</w:t>
            </w:r>
          </w:p>
        </w:tc>
        <w:tc>
          <w:tcPr>
            <w:tcW w:w="1836" w:type="dxa"/>
            <w:vAlign w:val="center"/>
          </w:tcPr>
          <w:p w14:paraId="2807F064" w14:textId="02FE110A" w:rsidR="00013AA4" w:rsidRPr="006C4611" w:rsidRDefault="00013AA4" w:rsidP="00851255">
            <w:pPr>
              <w:jc w:val="center"/>
            </w:pPr>
            <w:r w:rsidRPr="006C4611">
              <w:t>9.091</w:t>
            </w:r>
          </w:p>
        </w:tc>
        <w:tc>
          <w:tcPr>
            <w:tcW w:w="2756" w:type="dxa"/>
          </w:tcPr>
          <w:p w14:paraId="539DEE30" w14:textId="4AA51ACA" w:rsidR="00013AA4" w:rsidRPr="006C4611" w:rsidRDefault="00013AA4" w:rsidP="00013AA4">
            <w:pPr>
              <w:spacing w:line="240" w:lineRule="auto"/>
            </w:pPr>
            <w:r w:rsidRPr="006C4611">
              <w:t xml:space="preserve">SC6. </w:t>
            </w:r>
            <w:proofErr w:type="spellStart"/>
            <w:r w:rsidRPr="006C4611">
              <w:t>demografska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revitalizacija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i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bolji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položaj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obitelji</w:t>
            </w:r>
            <w:proofErr w:type="spellEnd"/>
          </w:p>
        </w:tc>
      </w:tr>
      <w:tr w:rsidR="00013AA4" w:rsidRPr="006C4611" w14:paraId="63AF6B73" w14:textId="77777777" w:rsidTr="00013AA4">
        <w:trPr>
          <w:trHeight w:val="204"/>
        </w:trPr>
        <w:tc>
          <w:tcPr>
            <w:tcW w:w="790" w:type="dxa"/>
            <w:vAlign w:val="center"/>
          </w:tcPr>
          <w:p w14:paraId="35D98751" w14:textId="6760999D" w:rsidR="00013AA4" w:rsidRPr="006C4611" w:rsidRDefault="00013AA4" w:rsidP="00851255">
            <w:pPr>
              <w:jc w:val="center"/>
            </w:pPr>
            <w:r w:rsidRPr="006C4611">
              <w:t xml:space="preserve">4. </w:t>
            </w:r>
          </w:p>
        </w:tc>
        <w:tc>
          <w:tcPr>
            <w:tcW w:w="3911" w:type="dxa"/>
            <w:vAlign w:val="center"/>
          </w:tcPr>
          <w:p w14:paraId="0562697C" w14:textId="77777777" w:rsidR="00013AA4" w:rsidRPr="006C4611" w:rsidRDefault="00013AA4" w:rsidP="00013AA4">
            <w:pPr>
              <w:jc w:val="center"/>
              <w:rPr>
                <w:lang w:val="hr-HR"/>
              </w:rPr>
            </w:pPr>
          </w:p>
          <w:p w14:paraId="42AAC44B" w14:textId="77777777" w:rsidR="00013AA4" w:rsidRPr="006C4611" w:rsidRDefault="00013AA4" w:rsidP="00065432">
            <w:pPr>
              <w:jc w:val="center"/>
              <w:rPr>
                <w:lang w:val="hr-HR"/>
              </w:rPr>
            </w:pPr>
            <w:r w:rsidRPr="006C4611">
              <w:rPr>
                <w:lang w:val="hr-HR"/>
              </w:rPr>
              <w:t>Gospodarski razvoj</w:t>
            </w:r>
          </w:p>
          <w:p w14:paraId="7528F335" w14:textId="08EDEA8E" w:rsidR="00065432" w:rsidRPr="006C4611" w:rsidRDefault="00065432" w:rsidP="00065432">
            <w:pPr>
              <w:jc w:val="center"/>
            </w:pPr>
          </w:p>
        </w:tc>
        <w:tc>
          <w:tcPr>
            <w:tcW w:w="2683" w:type="dxa"/>
          </w:tcPr>
          <w:p w14:paraId="3F072EB7" w14:textId="43A34B64" w:rsidR="00013AA4" w:rsidRPr="006C4611" w:rsidRDefault="00013AA4" w:rsidP="00851255">
            <w:pPr>
              <w:spacing w:line="240" w:lineRule="auto"/>
            </w:pPr>
            <w:r w:rsidRPr="006C4611">
              <w:rPr>
                <w:lang w:val="hr-HR"/>
              </w:rPr>
              <w:t>Broj sastanaka s poduzetnicima / OPG-ovima</w:t>
            </w:r>
          </w:p>
        </w:tc>
        <w:tc>
          <w:tcPr>
            <w:tcW w:w="1877" w:type="dxa"/>
            <w:vAlign w:val="center"/>
          </w:tcPr>
          <w:p w14:paraId="11980311" w14:textId="20DB9BCE" w:rsidR="00013AA4" w:rsidRPr="006C4611" w:rsidRDefault="00013AA4" w:rsidP="00851255">
            <w:pPr>
              <w:jc w:val="center"/>
            </w:pPr>
            <w:r w:rsidRPr="006C4611">
              <w:t>6</w:t>
            </w:r>
          </w:p>
        </w:tc>
        <w:tc>
          <w:tcPr>
            <w:tcW w:w="1836" w:type="dxa"/>
            <w:vAlign w:val="center"/>
          </w:tcPr>
          <w:p w14:paraId="0FBA5BD3" w14:textId="080C625B" w:rsidR="00013AA4" w:rsidRPr="006C4611" w:rsidRDefault="00013AA4" w:rsidP="00851255">
            <w:pPr>
              <w:jc w:val="center"/>
            </w:pPr>
            <w:r w:rsidRPr="006C4611">
              <w:t>10</w:t>
            </w:r>
          </w:p>
        </w:tc>
        <w:tc>
          <w:tcPr>
            <w:tcW w:w="2756" w:type="dxa"/>
          </w:tcPr>
          <w:p w14:paraId="7B616D6A" w14:textId="10F7E00C" w:rsidR="00013AA4" w:rsidRPr="006C4611" w:rsidRDefault="00013AA4" w:rsidP="00013AA4">
            <w:pPr>
              <w:spacing w:line="240" w:lineRule="auto"/>
            </w:pPr>
            <w:r w:rsidRPr="006C4611">
              <w:t xml:space="preserve">SC 1. </w:t>
            </w:r>
            <w:proofErr w:type="spellStart"/>
            <w:r w:rsidRPr="006C4611">
              <w:t>Konkurentno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i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inovativno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gospodarstvo</w:t>
            </w:r>
            <w:proofErr w:type="spellEnd"/>
          </w:p>
        </w:tc>
      </w:tr>
      <w:tr w:rsidR="00065432" w:rsidRPr="006C4611" w14:paraId="191601B7" w14:textId="77777777" w:rsidTr="00065432">
        <w:trPr>
          <w:trHeight w:val="204"/>
        </w:trPr>
        <w:tc>
          <w:tcPr>
            <w:tcW w:w="790" w:type="dxa"/>
            <w:vMerge w:val="restart"/>
            <w:vAlign w:val="center"/>
          </w:tcPr>
          <w:p w14:paraId="4991A92F" w14:textId="2EFD5A3F" w:rsidR="00065432" w:rsidRPr="006C4611" w:rsidRDefault="00065432" w:rsidP="00851255">
            <w:pPr>
              <w:jc w:val="center"/>
            </w:pPr>
            <w:r w:rsidRPr="006C4611">
              <w:lastRenderedPageBreak/>
              <w:t xml:space="preserve">5. </w:t>
            </w:r>
          </w:p>
        </w:tc>
        <w:tc>
          <w:tcPr>
            <w:tcW w:w="3911" w:type="dxa"/>
            <w:vMerge w:val="restart"/>
            <w:vAlign w:val="center"/>
          </w:tcPr>
          <w:p w14:paraId="0E856598" w14:textId="77777777" w:rsidR="00065432" w:rsidRPr="006C4611" w:rsidRDefault="00065432" w:rsidP="00013AA4">
            <w:pPr>
              <w:jc w:val="center"/>
              <w:rPr>
                <w:lang w:val="hr-HR"/>
              </w:rPr>
            </w:pPr>
          </w:p>
          <w:p w14:paraId="7B77992B" w14:textId="34C54218" w:rsidR="00065432" w:rsidRPr="006C4611" w:rsidRDefault="00065432" w:rsidP="00013AA4">
            <w:pPr>
              <w:jc w:val="center"/>
              <w:rPr>
                <w:lang w:val="hr-HR"/>
              </w:rPr>
            </w:pPr>
            <w:r w:rsidRPr="006C4611">
              <w:rPr>
                <w:lang w:val="hr-HR"/>
              </w:rPr>
              <w:t>Kultura, tjelesna kultura i sport</w:t>
            </w:r>
          </w:p>
          <w:p w14:paraId="74145539" w14:textId="77777777" w:rsidR="00065432" w:rsidRPr="006C4611" w:rsidRDefault="00065432" w:rsidP="00013AA4">
            <w:pPr>
              <w:jc w:val="center"/>
            </w:pPr>
          </w:p>
        </w:tc>
        <w:tc>
          <w:tcPr>
            <w:tcW w:w="2683" w:type="dxa"/>
            <w:vAlign w:val="center"/>
          </w:tcPr>
          <w:p w14:paraId="4B167427" w14:textId="0F755CE8" w:rsidR="00065432" w:rsidRPr="006C4611" w:rsidRDefault="00065432" w:rsidP="00065432">
            <w:pPr>
              <w:spacing w:line="240" w:lineRule="auto"/>
              <w:jc w:val="center"/>
            </w:pPr>
            <w:r w:rsidRPr="006C4611">
              <w:rPr>
                <w:lang w:val="hr-HR"/>
              </w:rPr>
              <w:t>Broj suradnji s udrugama</w:t>
            </w:r>
          </w:p>
        </w:tc>
        <w:tc>
          <w:tcPr>
            <w:tcW w:w="1877" w:type="dxa"/>
            <w:vAlign w:val="center"/>
          </w:tcPr>
          <w:p w14:paraId="3772CD2B" w14:textId="37D1F5AC" w:rsidR="00065432" w:rsidRPr="006C4611" w:rsidRDefault="00065432" w:rsidP="00851255">
            <w:pPr>
              <w:jc w:val="center"/>
            </w:pPr>
            <w:r w:rsidRPr="006C4611">
              <w:t>10</w:t>
            </w:r>
          </w:p>
        </w:tc>
        <w:tc>
          <w:tcPr>
            <w:tcW w:w="1836" w:type="dxa"/>
            <w:vAlign w:val="center"/>
          </w:tcPr>
          <w:p w14:paraId="4A35ABA9" w14:textId="51574475" w:rsidR="00065432" w:rsidRPr="006C4611" w:rsidRDefault="00065432" w:rsidP="00851255">
            <w:pPr>
              <w:jc w:val="center"/>
            </w:pPr>
            <w:r w:rsidRPr="006C4611">
              <w:t>12</w:t>
            </w:r>
          </w:p>
        </w:tc>
        <w:tc>
          <w:tcPr>
            <w:tcW w:w="2756" w:type="dxa"/>
          </w:tcPr>
          <w:p w14:paraId="2BB59815" w14:textId="77777777" w:rsidR="00065432" w:rsidRPr="006C4611" w:rsidRDefault="00065432" w:rsidP="00065432">
            <w:pPr>
              <w:spacing w:line="240" w:lineRule="auto"/>
            </w:pPr>
            <w:r w:rsidRPr="006C4611">
              <w:t xml:space="preserve">SC5. </w:t>
            </w:r>
            <w:proofErr w:type="spellStart"/>
            <w:r w:rsidRPr="006C4611">
              <w:t>Zdrav</w:t>
            </w:r>
            <w:proofErr w:type="spellEnd"/>
            <w:r w:rsidRPr="006C4611">
              <w:t xml:space="preserve">, </w:t>
            </w:r>
            <w:proofErr w:type="spellStart"/>
            <w:r w:rsidRPr="006C4611">
              <w:t>aktivan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i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kvalitetan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život</w:t>
            </w:r>
            <w:proofErr w:type="spellEnd"/>
            <w:r w:rsidRPr="006C4611">
              <w:t xml:space="preserve"> </w:t>
            </w:r>
          </w:p>
          <w:p w14:paraId="08073F5A" w14:textId="77777777" w:rsidR="00065432" w:rsidRPr="006C4611" w:rsidRDefault="00065432" w:rsidP="00013AA4">
            <w:pPr>
              <w:spacing w:line="240" w:lineRule="auto"/>
            </w:pPr>
          </w:p>
        </w:tc>
      </w:tr>
      <w:tr w:rsidR="00065432" w:rsidRPr="006C4611" w14:paraId="23224C42" w14:textId="77777777" w:rsidTr="00065432">
        <w:trPr>
          <w:trHeight w:val="204"/>
        </w:trPr>
        <w:tc>
          <w:tcPr>
            <w:tcW w:w="790" w:type="dxa"/>
            <w:vMerge/>
            <w:vAlign w:val="center"/>
          </w:tcPr>
          <w:p w14:paraId="6A6D11AB" w14:textId="77777777" w:rsidR="00065432" w:rsidRPr="006C4611" w:rsidRDefault="00065432" w:rsidP="00065432">
            <w:pPr>
              <w:jc w:val="center"/>
            </w:pPr>
          </w:p>
        </w:tc>
        <w:tc>
          <w:tcPr>
            <w:tcW w:w="3911" w:type="dxa"/>
            <w:vMerge/>
            <w:vAlign w:val="center"/>
          </w:tcPr>
          <w:p w14:paraId="754BBC16" w14:textId="77777777" w:rsidR="00065432" w:rsidRPr="006C4611" w:rsidRDefault="00065432" w:rsidP="00065432">
            <w:pPr>
              <w:jc w:val="center"/>
            </w:pPr>
          </w:p>
        </w:tc>
        <w:tc>
          <w:tcPr>
            <w:tcW w:w="2683" w:type="dxa"/>
            <w:vAlign w:val="center"/>
          </w:tcPr>
          <w:p w14:paraId="757B9891" w14:textId="4D57157F" w:rsidR="00065432" w:rsidRPr="006C4611" w:rsidRDefault="00065432" w:rsidP="00065432">
            <w:pPr>
              <w:spacing w:line="240" w:lineRule="auto"/>
              <w:jc w:val="left"/>
            </w:pPr>
            <w:r w:rsidRPr="006C4611">
              <w:rPr>
                <w:lang w:val="hr-HR"/>
              </w:rPr>
              <w:t>Broj promotivnih aktivnosti</w:t>
            </w:r>
          </w:p>
        </w:tc>
        <w:tc>
          <w:tcPr>
            <w:tcW w:w="1877" w:type="dxa"/>
            <w:vAlign w:val="center"/>
          </w:tcPr>
          <w:p w14:paraId="2198E731" w14:textId="538CC564" w:rsidR="00065432" w:rsidRPr="006C4611" w:rsidRDefault="00065432" w:rsidP="00065432">
            <w:pPr>
              <w:jc w:val="center"/>
            </w:pPr>
            <w:r w:rsidRPr="006C4611">
              <w:t>5</w:t>
            </w:r>
          </w:p>
        </w:tc>
        <w:tc>
          <w:tcPr>
            <w:tcW w:w="1836" w:type="dxa"/>
            <w:vAlign w:val="center"/>
          </w:tcPr>
          <w:p w14:paraId="01EA07AA" w14:textId="5A7D6A76" w:rsidR="00065432" w:rsidRPr="006C4611" w:rsidRDefault="00065432" w:rsidP="00065432">
            <w:pPr>
              <w:jc w:val="center"/>
            </w:pPr>
            <w:r w:rsidRPr="006C4611">
              <w:t>5</w:t>
            </w:r>
          </w:p>
        </w:tc>
        <w:tc>
          <w:tcPr>
            <w:tcW w:w="2756" w:type="dxa"/>
          </w:tcPr>
          <w:p w14:paraId="4C29AC2F" w14:textId="77777777" w:rsidR="00065432" w:rsidRPr="006C4611" w:rsidRDefault="00065432" w:rsidP="00065432">
            <w:pPr>
              <w:spacing w:line="240" w:lineRule="auto"/>
            </w:pPr>
            <w:r w:rsidRPr="006C4611">
              <w:t xml:space="preserve">SC 1. </w:t>
            </w:r>
            <w:proofErr w:type="spellStart"/>
            <w:r w:rsidRPr="006C4611">
              <w:t>Konkurentno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i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inovativno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gospodarstvo</w:t>
            </w:r>
            <w:proofErr w:type="spellEnd"/>
          </w:p>
          <w:p w14:paraId="0A34B577" w14:textId="77777777" w:rsidR="00065432" w:rsidRPr="006C4611" w:rsidRDefault="00065432" w:rsidP="00065432">
            <w:pPr>
              <w:spacing w:line="240" w:lineRule="auto"/>
            </w:pPr>
          </w:p>
        </w:tc>
      </w:tr>
    </w:tbl>
    <w:p w14:paraId="0A00501F" w14:textId="053318C5" w:rsidR="00657836" w:rsidRPr="006C4611" w:rsidRDefault="00657836" w:rsidP="00657836">
      <w:pPr>
        <w:pStyle w:val="Heading2"/>
      </w:pPr>
      <w:r w:rsidRPr="006C4611">
        <w:br w:type="page"/>
      </w:r>
    </w:p>
    <w:p w14:paraId="25BF6FDB" w14:textId="454CED10" w:rsidR="00657836" w:rsidRPr="006C4611" w:rsidRDefault="00657836" w:rsidP="000920DD"/>
    <w:p w14:paraId="3FC2563B" w14:textId="77777777" w:rsidR="00065432" w:rsidRPr="006C4611" w:rsidRDefault="00065432" w:rsidP="00065432">
      <w:pPr>
        <w:pStyle w:val="Heading2"/>
      </w:pPr>
      <w:bookmarkStart w:id="20" w:name="_Toc213328510"/>
      <w:r w:rsidRPr="006C4611">
        <w:t>10.2. Operativni cilj</w:t>
      </w:r>
      <w:bookmarkEnd w:id="20"/>
      <w:r w:rsidRPr="006C4611">
        <w:tab/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790"/>
        <w:gridCol w:w="3998"/>
        <w:gridCol w:w="1688"/>
        <w:gridCol w:w="2701"/>
        <w:gridCol w:w="4680"/>
      </w:tblGrid>
      <w:tr w:rsidR="00065432" w:rsidRPr="006C4611" w14:paraId="686F2F19" w14:textId="77777777" w:rsidTr="00065432">
        <w:tc>
          <w:tcPr>
            <w:tcW w:w="790" w:type="dxa"/>
            <w:shd w:val="clear" w:color="auto" w:fill="B4C6E7" w:themeFill="accent1" w:themeFillTint="66"/>
            <w:vAlign w:val="center"/>
          </w:tcPr>
          <w:p w14:paraId="630E516B" w14:textId="77777777" w:rsidR="00065432" w:rsidRPr="006C4611" w:rsidRDefault="00065432" w:rsidP="00851255">
            <w:pPr>
              <w:jc w:val="center"/>
            </w:pPr>
            <w:proofErr w:type="spellStart"/>
            <w:r w:rsidRPr="006C4611">
              <w:t>Redni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broj</w:t>
            </w:r>
            <w:proofErr w:type="spellEnd"/>
          </w:p>
        </w:tc>
        <w:tc>
          <w:tcPr>
            <w:tcW w:w="3998" w:type="dxa"/>
            <w:shd w:val="clear" w:color="auto" w:fill="B4C6E7" w:themeFill="accent1" w:themeFillTint="66"/>
            <w:vAlign w:val="center"/>
          </w:tcPr>
          <w:p w14:paraId="375659D4" w14:textId="77777777" w:rsidR="00065432" w:rsidRPr="006C4611" w:rsidRDefault="00065432" w:rsidP="00851255">
            <w:pPr>
              <w:spacing w:line="240" w:lineRule="auto"/>
              <w:jc w:val="center"/>
            </w:pPr>
            <w:proofErr w:type="spellStart"/>
            <w:r w:rsidRPr="006C4611">
              <w:t>Operativni</w:t>
            </w:r>
            <w:proofErr w:type="spellEnd"/>
            <w:r w:rsidRPr="006C4611">
              <w:t xml:space="preserve"> </w:t>
            </w:r>
            <w:proofErr w:type="spellStart"/>
            <w:r w:rsidRPr="006C4611">
              <w:t>cilj</w:t>
            </w:r>
            <w:proofErr w:type="spellEnd"/>
            <w:r w:rsidRPr="006C4611">
              <w:t xml:space="preserve"> (</w:t>
            </w:r>
            <w:proofErr w:type="spellStart"/>
            <w:r w:rsidRPr="006C4611">
              <w:t>radnja</w:t>
            </w:r>
            <w:proofErr w:type="spellEnd"/>
            <w:r w:rsidRPr="006C4611">
              <w:t>)</w:t>
            </w:r>
          </w:p>
        </w:tc>
        <w:tc>
          <w:tcPr>
            <w:tcW w:w="1688" w:type="dxa"/>
            <w:shd w:val="clear" w:color="auto" w:fill="B4C6E7" w:themeFill="accent1" w:themeFillTint="66"/>
            <w:vAlign w:val="center"/>
          </w:tcPr>
          <w:p w14:paraId="06C0D955" w14:textId="77777777" w:rsidR="00065432" w:rsidRPr="006C4611" w:rsidRDefault="00065432" w:rsidP="00851255">
            <w:pPr>
              <w:jc w:val="center"/>
            </w:pPr>
            <w:r w:rsidRPr="006C4611">
              <w:t xml:space="preserve">Rok </w:t>
            </w:r>
            <w:proofErr w:type="spellStart"/>
            <w:r w:rsidRPr="006C4611">
              <w:t>izvršenja</w:t>
            </w:r>
            <w:proofErr w:type="spellEnd"/>
          </w:p>
        </w:tc>
        <w:tc>
          <w:tcPr>
            <w:tcW w:w="2701" w:type="dxa"/>
            <w:shd w:val="clear" w:color="auto" w:fill="B4C6E7" w:themeFill="accent1" w:themeFillTint="66"/>
            <w:vAlign w:val="center"/>
          </w:tcPr>
          <w:p w14:paraId="2F5E5803" w14:textId="77777777" w:rsidR="00065432" w:rsidRPr="006C4611" w:rsidRDefault="00065432" w:rsidP="00851255">
            <w:pPr>
              <w:jc w:val="center"/>
            </w:pPr>
            <w:proofErr w:type="spellStart"/>
            <w:r w:rsidRPr="006C4611">
              <w:t>Nadležnost</w:t>
            </w:r>
            <w:proofErr w:type="spellEnd"/>
          </w:p>
        </w:tc>
        <w:tc>
          <w:tcPr>
            <w:tcW w:w="4680" w:type="dxa"/>
            <w:shd w:val="clear" w:color="auto" w:fill="B4C6E7" w:themeFill="accent1" w:themeFillTint="66"/>
            <w:vAlign w:val="center"/>
          </w:tcPr>
          <w:p w14:paraId="51634587" w14:textId="77777777" w:rsidR="00065432" w:rsidRPr="006C4611" w:rsidRDefault="00065432" w:rsidP="00851255">
            <w:pPr>
              <w:jc w:val="center"/>
            </w:pPr>
            <w:r w:rsidRPr="006C4611">
              <w:t xml:space="preserve">Izvor </w:t>
            </w:r>
            <w:proofErr w:type="spellStart"/>
            <w:r w:rsidRPr="006C4611">
              <w:t>financiranja</w:t>
            </w:r>
            <w:proofErr w:type="spellEnd"/>
          </w:p>
        </w:tc>
      </w:tr>
      <w:tr w:rsidR="00065432" w:rsidRPr="006C4611" w14:paraId="6B471C7C" w14:textId="77777777" w:rsidTr="00065432">
        <w:trPr>
          <w:trHeight w:val="168"/>
        </w:trPr>
        <w:tc>
          <w:tcPr>
            <w:tcW w:w="790" w:type="dxa"/>
          </w:tcPr>
          <w:p w14:paraId="0C6EB0DF" w14:textId="77777777" w:rsidR="00065432" w:rsidRPr="006C4611" w:rsidRDefault="00065432" w:rsidP="00065432">
            <w:pPr>
              <w:pStyle w:val="ListParagraph"/>
              <w:numPr>
                <w:ilvl w:val="0"/>
                <w:numId w:val="19"/>
              </w:numPr>
              <w:contextualSpacing w:val="0"/>
              <w:jc w:val="left"/>
            </w:pPr>
          </w:p>
        </w:tc>
        <w:tc>
          <w:tcPr>
            <w:tcW w:w="3998" w:type="dxa"/>
          </w:tcPr>
          <w:p w14:paraId="1CE211F5" w14:textId="5C2680A5" w:rsidR="00065432" w:rsidRPr="006C4611" w:rsidRDefault="00065432" w:rsidP="00851255">
            <w:pPr>
              <w:spacing w:line="240" w:lineRule="auto"/>
              <w:rPr>
                <w:lang w:val="hr-HR"/>
              </w:rPr>
            </w:pPr>
            <w:r w:rsidRPr="006C4611">
              <w:rPr>
                <w:lang w:val="hr-HR"/>
              </w:rPr>
              <w:t>Ojačati lokalne kapacitete i administraciju kroz kontinuirano stručno usavršavanje zaposlenika i poboljšanje organizacijskih procesa u administraciji.</w:t>
            </w:r>
          </w:p>
        </w:tc>
        <w:tc>
          <w:tcPr>
            <w:tcW w:w="1688" w:type="dxa"/>
          </w:tcPr>
          <w:p w14:paraId="27D7A498" w14:textId="77777777" w:rsidR="00065432" w:rsidRPr="006C4611" w:rsidRDefault="00065432" w:rsidP="00851255">
            <w:pPr>
              <w:rPr>
                <w:lang w:val="hr-HR"/>
              </w:rPr>
            </w:pPr>
            <w:r w:rsidRPr="006C4611">
              <w:rPr>
                <w:lang w:val="hr-HR"/>
              </w:rPr>
              <w:t>Kontinuirano, 2026</w:t>
            </w:r>
          </w:p>
        </w:tc>
        <w:tc>
          <w:tcPr>
            <w:tcW w:w="2701" w:type="dxa"/>
          </w:tcPr>
          <w:p w14:paraId="16D224BA" w14:textId="6EAAC483" w:rsidR="00065432" w:rsidRPr="006C4611" w:rsidRDefault="00065432" w:rsidP="00851255">
            <w:pPr>
              <w:rPr>
                <w:lang w:val="hr-HR"/>
              </w:rPr>
            </w:pPr>
            <w:r w:rsidRPr="006C4611">
              <w:rPr>
                <w:lang w:val="hr-HR"/>
              </w:rPr>
              <w:t>Ravnatelj</w:t>
            </w:r>
          </w:p>
        </w:tc>
        <w:tc>
          <w:tcPr>
            <w:tcW w:w="4680" w:type="dxa"/>
          </w:tcPr>
          <w:p w14:paraId="16D7AE51" w14:textId="45F1A1C3" w:rsidR="00065432" w:rsidRPr="006C4611" w:rsidRDefault="00B07A37" w:rsidP="00851255">
            <w:pPr>
              <w:rPr>
                <w:lang w:val="hr-HR"/>
              </w:rPr>
            </w:pPr>
            <w:r w:rsidRPr="006C4611">
              <w:rPr>
                <w:lang w:val="hr-HR"/>
              </w:rPr>
              <w:t>Opći prihodi i primici</w:t>
            </w:r>
          </w:p>
        </w:tc>
      </w:tr>
      <w:tr w:rsidR="00065432" w:rsidRPr="006C4611" w14:paraId="4010FD10" w14:textId="77777777" w:rsidTr="00065432">
        <w:trPr>
          <w:trHeight w:val="168"/>
        </w:trPr>
        <w:tc>
          <w:tcPr>
            <w:tcW w:w="790" w:type="dxa"/>
          </w:tcPr>
          <w:p w14:paraId="7273A361" w14:textId="77777777" w:rsidR="00065432" w:rsidRPr="006C4611" w:rsidRDefault="00065432" w:rsidP="00065432">
            <w:pPr>
              <w:pStyle w:val="ListParagraph"/>
              <w:numPr>
                <w:ilvl w:val="0"/>
                <w:numId w:val="19"/>
              </w:numPr>
              <w:contextualSpacing w:val="0"/>
              <w:jc w:val="left"/>
            </w:pPr>
          </w:p>
        </w:tc>
        <w:tc>
          <w:tcPr>
            <w:tcW w:w="3998" w:type="dxa"/>
          </w:tcPr>
          <w:p w14:paraId="594FBB58" w14:textId="2B00D549" w:rsidR="00065432" w:rsidRPr="006C4611" w:rsidRDefault="00065432" w:rsidP="00851255">
            <w:pPr>
              <w:spacing w:line="240" w:lineRule="auto"/>
              <w:rPr>
                <w:lang w:val="hr-HR"/>
              </w:rPr>
            </w:pPr>
            <w:r w:rsidRPr="006C4611">
              <w:rPr>
                <w:lang w:val="hr-HR"/>
              </w:rPr>
              <w:t>Unaprijediti dostupnost i kvalitetu stanovanja, odgoja i obrazovanja</w:t>
            </w:r>
          </w:p>
        </w:tc>
        <w:tc>
          <w:tcPr>
            <w:tcW w:w="1688" w:type="dxa"/>
          </w:tcPr>
          <w:p w14:paraId="62D30997" w14:textId="4389DDCA" w:rsidR="00065432" w:rsidRPr="006C4611" w:rsidRDefault="00065432" w:rsidP="00851255">
            <w:pPr>
              <w:rPr>
                <w:lang w:val="hr-HR"/>
              </w:rPr>
            </w:pPr>
            <w:r w:rsidRPr="006C4611">
              <w:rPr>
                <w:lang w:val="hr-HR"/>
              </w:rPr>
              <w:t>Kontinuirano, 2026</w:t>
            </w:r>
          </w:p>
        </w:tc>
        <w:tc>
          <w:tcPr>
            <w:tcW w:w="2701" w:type="dxa"/>
          </w:tcPr>
          <w:p w14:paraId="5523D1E7" w14:textId="41C938D6" w:rsidR="00065432" w:rsidRPr="006C4611" w:rsidRDefault="00065432" w:rsidP="00851255">
            <w:pPr>
              <w:rPr>
                <w:lang w:val="hr-HR"/>
              </w:rPr>
            </w:pPr>
            <w:r w:rsidRPr="006C4611">
              <w:rPr>
                <w:lang w:val="hr-HR"/>
              </w:rPr>
              <w:t>Ravnatelj</w:t>
            </w:r>
          </w:p>
        </w:tc>
        <w:tc>
          <w:tcPr>
            <w:tcW w:w="4680" w:type="dxa"/>
          </w:tcPr>
          <w:p w14:paraId="5A3861E9" w14:textId="5A89FB74" w:rsidR="00065432" w:rsidRPr="006C4611" w:rsidRDefault="00B07A37" w:rsidP="00851255">
            <w:pPr>
              <w:rPr>
                <w:lang w:val="hr-HR"/>
              </w:rPr>
            </w:pPr>
            <w:r w:rsidRPr="006C4611">
              <w:rPr>
                <w:lang w:val="hr-HR"/>
              </w:rPr>
              <w:t>Opći prihodi i primici</w:t>
            </w:r>
          </w:p>
        </w:tc>
      </w:tr>
      <w:tr w:rsidR="00065432" w:rsidRPr="006C4611" w14:paraId="413E467C" w14:textId="77777777" w:rsidTr="00065432">
        <w:trPr>
          <w:trHeight w:val="168"/>
        </w:trPr>
        <w:tc>
          <w:tcPr>
            <w:tcW w:w="790" w:type="dxa"/>
          </w:tcPr>
          <w:p w14:paraId="06057E32" w14:textId="77777777" w:rsidR="00065432" w:rsidRPr="006C4611" w:rsidRDefault="00065432" w:rsidP="00065432">
            <w:pPr>
              <w:pStyle w:val="ListParagraph"/>
              <w:numPr>
                <w:ilvl w:val="0"/>
                <w:numId w:val="19"/>
              </w:numPr>
              <w:contextualSpacing w:val="0"/>
              <w:jc w:val="left"/>
            </w:pPr>
          </w:p>
        </w:tc>
        <w:tc>
          <w:tcPr>
            <w:tcW w:w="3998" w:type="dxa"/>
          </w:tcPr>
          <w:p w14:paraId="1BC6F120" w14:textId="5CDD8ABA" w:rsidR="00065432" w:rsidRPr="006C4611" w:rsidRDefault="00065432" w:rsidP="00851255">
            <w:pPr>
              <w:spacing w:line="240" w:lineRule="auto"/>
              <w:rPr>
                <w:lang w:val="hr-HR"/>
              </w:rPr>
            </w:pPr>
            <w:r w:rsidRPr="006C4611">
              <w:rPr>
                <w:lang w:val="hr-HR"/>
              </w:rPr>
              <w:t>Poticati demografski oporavak i zadržavanje stanovništva</w:t>
            </w:r>
          </w:p>
        </w:tc>
        <w:tc>
          <w:tcPr>
            <w:tcW w:w="1688" w:type="dxa"/>
          </w:tcPr>
          <w:p w14:paraId="3A1D0B81" w14:textId="76C62132" w:rsidR="00065432" w:rsidRPr="006C4611" w:rsidRDefault="00065432" w:rsidP="00851255">
            <w:pPr>
              <w:rPr>
                <w:lang w:val="hr-HR"/>
              </w:rPr>
            </w:pPr>
            <w:r w:rsidRPr="006C4611">
              <w:rPr>
                <w:lang w:val="hr-HR"/>
              </w:rPr>
              <w:t>Kontinuirano, 2026</w:t>
            </w:r>
          </w:p>
        </w:tc>
        <w:tc>
          <w:tcPr>
            <w:tcW w:w="2701" w:type="dxa"/>
          </w:tcPr>
          <w:p w14:paraId="074F1428" w14:textId="4447FC05" w:rsidR="00065432" w:rsidRPr="006C4611" w:rsidRDefault="00065432" w:rsidP="00851255">
            <w:pPr>
              <w:rPr>
                <w:lang w:val="hr-HR"/>
              </w:rPr>
            </w:pPr>
            <w:r w:rsidRPr="006C4611">
              <w:rPr>
                <w:lang w:val="hr-HR"/>
              </w:rPr>
              <w:t>Ravnatelj</w:t>
            </w:r>
          </w:p>
        </w:tc>
        <w:tc>
          <w:tcPr>
            <w:tcW w:w="4680" w:type="dxa"/>
          </w:tcPr>
          <w:p w14:paraId="7FC4F029" w14:textId="31B32061" w:rsidR="00065432" w:rsidRPr="006C4611" w:rsidRDefault="00B07A37" w:rsidP="00851255">
            <w:pPr>
              <w:rPr>
                <w:lang w:val="hr-HR"/>
              </w:rPr>
            </w:pPr>
            <w:r w:rsidRPr="006C4611">
              <w:rPr>
                <w:lang w:val="hr-HR"/>
              </w:rPr>
              <w:t>Opći prihodi i primici</w:t>
            </w:r>
          </w:p>
        </w:tc>
      </w:tr>
      <w:tr w:rsidR="00065432" w:rsidRPr="006C4611" w14:paraId="11B92C41" w14:textId="77777777" w:rsidTr="00065432">
        <w:trPr>
          <w:trHeight w:val="168"/>
        </w:trPr>
        <w:tc>
          <w:tcPr>
            <w:tcW w:w="790" w:type="dxa"/>
          </w:tcPr>
          <w:p w14:paraId="7DB3253D" w14:textId="77777777" w:rsidR="00065432" w:rsidRPr="006C4611" w:rsidRDefault="00065432" w:rsidP="00065432">
            <w:pPr>
              <w:pStyle w:val="ListParagraph"/>
              <w:numPr>
                <w:ilvl w:val="0"/>
                <w:numId w:val="19"/>
              </w:numPr>
              <w:contextualSpacing w:val="0"/>
              <w:jc w:val="left"/>
            </w:pPr>
          </w:p>
        </w:tc>
        <w:tc>
          <w:tcPr>
            <w:tcW w:w="3998" w:type="dxa"/>
          </w:tcPr>
          <w:p w14:paraId="5CA8A09A" w14:textId="34C8216B" w:rsidR="00065432" w:rsidRPr="006C4611" w:rsidRDefault="00065432" w:rsidP="00851255">
            <w:pPr>
              <w:spacing w:line="240" w:lineRule="auto"/>
              <w:rPr>
                <w:lang w:val="hr-HR"/>
              </w:rPr>
            </w:pPr>
            <w:r w:rsidRPr="006C4611">
              <w:rPr>
                <w:lang w:val="hr-HR"/>
              </w:rPr>
              <w:t>Unaprijediti gospodarski razvoj i poduzetništvo</w:t>
            </w:r>
          </w:p>
        </w:tc>
        <w:tc>
          <w:tcPr>
            <w:tcW w:w="1688" w:type="dxa"/>
          </w:tcPr>
          <w:p w14:paraId="4C260F22" w14:textId="1B0E5A4A" w:rsidR="00065432" w:rsidRPr="006C4611" w:rsidRDefault="00065432" w:rsidP="00851255">
            <w:pPr>
              <w:rPr>
                <w:lang w:val="hr-HR"/>
              </w:rPr>
            </w:pPr>
            <w:r w:rsidRPr="006C4611">
              <w:rPr>
                <w:lang w:val="hr-HR"/>
              </w:rPr>
              <w:t>Kontinuirano, 2026</w:t>
            </w:r>
          </w:p>
        </w:tc>
        <w:tc>
          <w:tcPr>
            <w:tcW w:w="2701" w:type="dxa"/>
          </w:tcPr>
          <w:p w14:paraId="6B1F675C" w14:textId="5F9646E0" w:rsidR="00065432" w:rsidRPr="006C4611" w:rsidRDefault="00065432" w:rsidP="00851255">
            <w:pPr>
              <w:rPr>
                <w:lang w:val="hr-HR"/>
              </w:rPr>
            </w:pPr>
            <w:r w:rsidRPr="006C4611">
              <w:rPr>
                <w:lang w:val="hr-HR"/>
              </w:rPr>
              <w:t>Ravnatelj</w:t>
            </w:r>
          </w:p>
        </w:tc>
        <w:tc>
          <w:tcPr>
            <w:tcW w:w="4680" w:type="dxa"/>
          </w:tcPr>
          <w:p w14:paraId="2ECD36B9" w14:textId="2846AFF5" w:rsidR="00065432" w:rsidRPr="006C4611" w:rsidRDefault="00B07A37" w:rsidP="00851255">
            <w:pPr>
              <w:rPr>
                <w:lang w:val="hr-HR"/>
              </w:rPr>
            </w:pPr>
            <w:r w:rsidRPr="006C4611">
              <w:rPr>
                <w:lang w:val="hr-HR"/>
              </w:rPr>
              <w:t>Opći prihodi i primici</w:t>
            </w:r>
          </w:p>
        </w:tc>
      </w:tr>
      <w:tr w:rsidR="00065432" w:rsidRPr="006C4611" w14:paraId="5E8E536C" w14:textId="77777777" w:rsidTr="00065432">
        <w:trPr>
          <w:trHeight w:val="168"/>
        </w:trPr>
        <w:tc>
          <w:tcPr>
            <w:tcW w:w="790" w:type="dxa"/>
          </w:tcPr>
          <w:p w14:paraId="05FFBCDE" w14:textId="77777777" w:rsidR="00065432" w:rsidRPr="006C4611" w:rsidRDefault="00065432" w:rsidP="00065432">
            <w:pPr>
              <w:pStyle w:val="ListParagraph"/>
              <w:numPr>
                <w:ilvl w:val="0"/>
                <w:numId w:val="19"/>
              </w:numPr>
              <w:contextualSpacing w:val="0"/>
              <w:jc w:val="left"/>
            </w:pPr>
          </w:p>
        </w:tc>
        <w:tc>
          <w:tcPr>
            <w:tcW w:w="3998" w:type="dxa"/>
          </w:tcPr>
          <w:p w14:paraId="3EFD4DCA" w14:textId="3A951166" w:rsidR="00065432" w:rsidRPr="006C4611" w:rsidRDefault="00065432" w:rsidP="00851255">
            <w:pPr>
              <w:spacing w:line="240" w:lineRule="auto"/>
              <w:rPr>
                <w:lang w:val="hr-HR"/>
              </w:rPr>
            </w:pPr>
            <w:r w:rsidRPr="006C4611">
              <w:rPr>
                <w:lang w:val="hr-HR"/>
              </w:rPr>
              <w:t>Povećati dostupnost kulturnih i sportskih sadržaja te poticati aktivno sudjelovanje građana kroz suradnju s udrugama i organizacijama civilnog društva</w:t>
            </w:r>
          </w:p>
        </w:tc>
        <w:tc>
          <w:tcPr>
            <w:tcW w:w="1688" w:type="dxa"/>
          </w:tcPr>
          <w:p w14:paraId="169E209E" w14:textId="15D58639" w:rsidR="00065432" w:rsidRPr="006C4611" w:rsidRDefault="00065432" w:rsidP="00851255">
            <w:pPr>
              <w:rPr>
                <w:lang w:val="hr-HR"/>
              </w:rPr>
            </w:pPr>
            <w:r w:rsidRPr="006C4611">
              <w:rPr>
                <w:lang w:val="hr-HR"/>
              </w:rPr>
              <w:t>Kontinuirano, 2026</w:t>
            </w:r>
          </w:p>
        </w:tc>
        <w:tc>
          <w:tcPr>
            <w:tcW w:w="2701" w:type="dxa"/>
          </w:tcPr>
          <w:p w14:paraId="4B5605E5" w14:textId="2329F71D" w:rsidR="00065432" w:rsidRPr="006C4611" w:rsidRDefault="00065432" w:rsidP="00851255">
            <w:pPr>
              <w:rPr>
                <w:lang w:val="hr-HR"/>
              </w:rPr>
            </w:pPr>
            <w:r w:rsidRPr="006C4611">
              <w:rPr>
                <w:lang w:val="hr-HR"/>
              </w:rPr>
              <w:t>Ravnatelj</w:t>
            </w:r>
          </w:p>
        </w:tc>
        <w:tc>
          <w:tcPr>
            <w:tcW w:w="4680" w:type="dxa"/>
          </w:tcPr>
          <w:p w14:paraId="3E2CFA62" w14:textId="353B7E6C" w:rsidR="00065432" w:rsidRPr="006C4611" w:rsidRDefault="00B07A37" w:rsidP="00851255">
            <w:pPr>
              <w:rPr>
                <w:lang w:val="hr-HR"/>
              </w:rPr>
            </w:pPr>
            <w:r w:rsidRPr="006C4611">
              <w:rPr>
                <w:lang w:val="hr-HR"/>
              </w:rPr>
              <w:t>Opći prihodi i primici</w:t>
            </w:r>
          </w:p>
        </w:tc>
      </w:tr>
    </w:tbl>
    <w:p w14:paraId="332F4792" w14:textId="178AB805" w:rsidR="00657836" w:rsidRPr="006C4611" w:rsidRDefault="00657836" w:rsidP="00065432">
      <w:pPr>
        <w:pStyle w:val="Heading2"/>
      </w:pPr>
      <w:r w:rsidRPr="006C4611">
        <w:br w:type="page"/>
      </w:r>
    </w:p>
    <w:p w14:paraId="47849B77" w14:textId="77777777" w:rsidR="00E86C8B" w:rsidRPr="006C4611" w:rsidRDefault="00E86C8B" w:rsidP="000920DD"/>
    <w:p w14:paraId="6E163791" w14:textId="77777777" w:rsidR="00E86C8B" w:rsidRPr="006C4611" w:rsidRDefault="00E86C8B" w:rsidP="000920DD"/>
    <w:p w14:paraId="79B155BB" w14:textId="4C4366D1" w:rsidR="00E86C8B" w:rsidRPr="006C4611" w:rsidRDefault="00E86C8B" w:rsidP="000920DD">
      <w:r w:rsidRPr="006C4611">
        <w:t xml:space="preserve">RAZVOJNA AGENCIJA TINTL </w:t>
      </w:r>
    </w:p>
    <w:p w14:paraId="44F66FB4" w14:textId="741E80D6" w:rsidR="00E86C8B" w:rsidRPr="006C4611" w:rsidRDefault="00E86C8B" w:rsidP="000920DD">
      <w:r w:rsidRPr="006C4611">
        <w:t>ANTUNA GUSTAVA MATOŠA 2</w:t>
      </w:r>
      <w:r w:rsidR="004E06E2" w:rsidRPr="006C4611">
        <w:t>6</w:t>
      </w:r>
      <w:r w:rsidRPr="006C4611">
        <w:t>, 32249 TOVARNIK</w:t>
      </w:r>
    </w:p>
    <w:p w14:paraId="69748911" w14:textId="2A0C24A1" w:rsidR="00E86C8B" w:rsidRPr="006C4611" w:rsidRDefault="00E86C8B" w:rsidP="000920DD">
      <w:r w:rsidRPr="006C4611">
        <w:t>KLASA: 007-01/2</w:t>
      </w:r>
      <w:r w:rsidR="004E06E2" w:rsidRPr="006C4611">
        <w:t>5</w:t>
      </w:r>
      <w:r w:rsidRPr="006C4611">
        <w:t>-01/0</w:t>
      </w:r>
      <w:r w:rsidR="004E06E2" w:rsidRPr="006C4611">
        <w:t>4</w:t>
      </w:r>
    </w:p>
    <w:p w14:paraId="2FFAA4AC" w14:textId="09ED6A95" w:rsidR="00E86C8B" w:rsidRPr="006C4611" w:rsidRDefault="00E86C8B" w:rsidP="000920DD">
      <w:r w:rsidRPr="006C4611">
        <w:t>URBROJ: 2196-28-1-2</w:t>
      </w:r>
      <w:r w:rsidR="004E06E2" w:rsidRPr="006C4611">
        <w:t>5</w:t>
      </w:r>
      <w:r w:rsidRPr="006C4611">
        <w:t>-01</w:t>
      </w:r>
    </w:p>
    <w:p w14:paraId="22A2BC87" w14:textId="3549CF8E" w:rsidR="00E86C8B" w:rsidRPr="006C4611" w:rsidRDefault="00E86C8B" w:rsidP="000920DD">
      <w:r w:rsidRPr="006C4611">
        <w:t xml:space="preserve">Tovarnik, </w:t>
      </w:r>
      <w:r w:rsidR="00535235" w:rsidRPr="006C4611">
        <w:t>15.</w:t>
      </w:r>
      <w:r w:rsidR="00535235" w:rsidRPr="006C4611">
        <w:t xml:space="preserve"> prosinca </w:t>
      </w:r>
      <w:r w:rsidR="00535235" w:rsidRPr="006C4611">
        <w:t>2025</w:t>
      </w:r>
    </w:p>
    <w:p w14:paraId="2D72CEF7" w14:textId="77777777" w:rsidR="00DE5731" w:rsidRPr="006C4611" w:rsidRDefault="00DE5731" w:rsidP="00DE5731">
      <w:pPr>
        <w:pStyle w:val="ListParagraph"/>
        <w:spacing w:after="0"/>
        <w:rPr>
          <w:rFonts w:cs="Times New Roman"/>
          <w:szCs w:val="24"/>
        </w:rPr>
      </w:pPr>
    </w:p>
    <w:p w14:paraId="2D92D06C" w14:textId="77777777" w:rsidR="00DE5731" w:rsidRPr="006C4611" w:rsidRDefault="00DE5731" w:rsidP="00A125F7">
      <w:pPr>
        <w:spacing w:after="0"/>
        <w:rPr>
          <w:rFonts w:cs="Times New Roman"/>
          <w:szCs w:val="24"/>
        </w:rPr>
      </w:pPr>
    </w:p>
    <w:p w14:paraId="3A7ABDCC" w14:textId="77777777" w:rsidR="00DE5731" w:rsidRPr="006C4611" w:rsidRDefault="00DE5731" w:rsidP="00A125F7">
      <w:pPr>
        <w:spacing w:after="0"/>
        <w:rPr>
          <w:rFonts w:cs="Times New Roman"/>
          <w:szCs w:val="24"/>
        </w:rPr>
      </w:pPr>
    </w:p>
    <w:p w14:paraId="1770019C" w14:textId="3015C94D" w:rsidR="002A5667" w:rsidRPr="006C4611" w:rsidRDefault="002A5667" w:rsidP="002A5667">
      <w:pPr>
        <w:spacing w:after="0"/>
        <w:jc w:val="right"/>
        <w:rPr>
          <w:rFonts w:cs="Times New Roman"/>
          <w:szCs w:val="24"/>
        </w:rPr>
      </w:pPr>
      <w:r w:rsidRPr="006C4611">
        <w:rPr>
          <w:rFonts w:cs="Times New Roman"/>
          <w:szCs w:val="24"/>
        </w:rPr>
        <w:t>______________________________</w:t>
      </w:r>
    </w:p>
    <w:p w14:paraId="17050695" w14:textId="41862A40" w:rsidR="004978BF" w:rsidRPr="006C4611" w:rsidRDefault="002A5667" w:rsidP="006D6FF0">
      <w:pPr>
        <w:spacing w:after="0"/>
        <w:ind w:left="4248" w:firstLine="708"/>
        <w:rPr>
          <w:rFonts w:cs="Times New Roman"/>
          <w:szCs w:val="24"/>
        </w:rPr>
      </w:pPr>
      <w:r w:rsidRPr="006C4611">
        <w:rPr>
          <w:rFonts w:cs="Times New Roman"/>
          <w:szCs w:val="24"/>
        </w:rPr>
        <w:t xml:space="preserve">        </w:t>
      </w:r>
      <w:r w:rsidR="00400068" w:rsidRPr="006C4611">
        <w:rPr>
          <w:rFonts w:cs="Times New Roman"/>
          <w:szCs w:val="24"/>
        </w:rPr>
        <w:tab/>
      </w:r>
      <w:r w:rsidR="00400068" w:rsidRPr="006C4611">
        <w:rPr>
          <w:rFonts w:cs="Times New Roman"/>
          <w:szCs w:val="24"/>
        </w:rPr>
        <w:tab/>
      </w:r>
      <w:r w:rsidR="00400068" w:rsidRPr="006C4611">
        <w:rPr>
          <w:rFonts w:cs="Times New Roman"/>
          <w:szCs w:val="24"/>
        </w:rPr>
        <w:tab/>
      </w:r>
      <w:r w:rsidR="00400068" w:rsidRPr="006C4611">
        <w:rPr>
          <w:rFonts w:cs="Times New Roman"/>
          <w:szCs w:val="24"/>
        </w:rPr>
        <w:tab/>
      </w:r>
      <w:r w:rsidR="00400068" w:rsidRPr="006C4611">
        <w:rPr>
          <w:rFonts w:cs="Times New Roman"/>
          <w:szCs w:val="24"/>
        </w:rPr>
        <w:tab/>
      </w:r>
      <w:r w:rsidR="00400068" w:rsidRPr="006C4611">
        <w:rPr>
          <w:rFonts w:cs="Times New Roman"/>
          <w:szCs w:val="24"/>
        </w:rPr>
        <w:tab/>
      </w:r>
      <w:r w:rsidR="00400068" w:rsidRPr="006C4611">
        <w:rPr>
          <w:rFonts w:cs="Times New Roman"/>
          <w:szCs w:val="24"/>
        </w:rPr>
        <w:tab/>
      </w:r>
      <w:r w:rsidRPr="006C4611">
        <w:rPr>
          <w:rFonts w:cs="Times New Roman"/>
          <w:szCs w:val="24"/>
        </w:rPr>
        <w:t xml:space="preserve">  </w:t>
      </w:r>
      <w:r w:rsidR="00400068" w:rsidRPr="006C4611">
        <w:rPr>
          <w:rFonts w:cs="Times New Roman"/>
          <w:szCs w:val="24"/>
        </w:rPr>
        <w:tab/>
      </w:r>
      <w:r w:rsidR="00456C90" w:rsidRPr="006C4611">
        <w:rPr>
          <w:rFonts w:cs="Times New Roman"/>
          <w:szCs w:val="24"/>
        </w:rPr>
        <w:t>Predsjednik Upravnog vijeća</w:t>
      </w:r>
      <w:r w:rsidR="006D6FF0" w:rsidRPr="006C4611">
        <w:rPr>
          <w:rFonts w:cs="Times New Roman"/>
          <w:szCs w:val="24"/>
        </w:rPr>
        <w:t>,</w:t>
      </w:r>
    </w:p>
    <w:p w14:paraId="48F6E1B2" w14:textId="474FE7BC" w:rsidR="004978BF" w:rsidRPr="001144F5" w:rsidRDefault="00400068" w:rsidP="00400068">
      <w:pPr>
        <w:spacing w:after="0"/>
        <w:ind w:left="9912" w:firstLine="708"/>
        <w:rPr>
          <w:rFonts w:cs="Times New Roman"/>
          <w:szCs w:val="24"/>
        </w:rPr>
      </w:pPr>
      <w:r w:rsidRPr="006C4611">
        <w:rPr>
          <w:rFonts w:cs="Times New Roman"/>
          <w:szCs w:val="24"/>
        </w:rPr>
        <w:t>Zoran Palijan</w:t>
      </w:r>
    </w:p>
    <w:sectPr w:rsidR="004978BF" w:rsidRPr="001144F5" w:rsidSect="00657836">
      <w:footerReference w:type="default" r:id="rId18"/>
      <w:pgSz w:w="16838" w:h="11906" w:orient="landscape"/>
      <w:pgMar w:top="1417" w:right="1417" w:bottom="1417" w:left="1417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60100" w14:textId="77777777" w:rsidR="00E417EA" w:rsidRDefault="00E417EA" w:rsidP="008E6C18">
      <w:pPr>
        <w:spacing w:after="0" w:line="240" w:lineRule="auto"/>
      </w:pPr>
      <w:r>
        <w:separator/>
      </w:r>
    </w:p>
  </w:endnote>
  <w:endnote w:type="continuationSeparator" w:id="0">
    <w:p w14:paraId="1499B635" w14:textId="77777777" w:rsidR="00E417EA" w:rsidRDefault="00E417EA" w:rsidP="008E6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F73DB" w14:textId="01E70E9E" w:rsidR="00DE5731" w:rsidRDefault="00DE5731">
    <w:pPr>
      <w:pStyle w:val="Footer"/>
      <w:jc w:val="right"/>
    </w:pPr>
  </w:p>
  <w:p w14:paraId="770091DE" w14:textId="39CF738C" w:rsidR="00F476C9" w:rsidRDefault="00F476C9" w:rsidP="008E6C18">
    <w:pPr>
      <w:pStyle w:val="Footer"/>
      <w:jc w:val="center"/>
      <w:rPr>
        <w:rFonts w:ascii="Arial" w:hAnsi="Arial" w:cs="Arial"/>
        <w:color w:val="80808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9581144"/>
      <w:docPartObj>
        <w:docPartGallery w:val="Page Numbers (Bottom of Page)"/>
        <w:docPartUnique/>
      </w:docPartObj>
    </w:sdtPr>
    <w:sdtContent>
      <w:p w14:paraId="67EBE73A" w14:textId="77777777" w:rsidR="00DE5731" w:rsidRDefault="00DE573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127E3A" w14:textId="77777777" w:rsidR="00DE5731" w:rsidRDefault="00DE5731" w:rsidP="008E6C18">
    <w:pPr>
      <w:pStyle w:val="Footer"/>
      <w:jc w:val="center"/>
      <w:rPr>
        <w:rFonts w:ascii="Arial" w:hAnsi="Arial" w:cs="Arial"/>
        <w:color w:val="80808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819255"/>
      <w:docPartObj>
        <w:docPartGallery w:val="Page Numbers (Bottom of Page)"/>
        <w:docPartUnique/>
      </w:docPartObj>
    </w:sdtPr>
    <w:sdtContent>
      <w:p w14:paraId="1CBA82D7" w14:textId="77777777" w:rsidR="00657836" w:rsidRDefault="0065783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A352B" w14:textId="77777777" w:rsidR="00657836" w:rsidRDefault="00657836" w:rsidP="008E6C18">
    <w:pPr>
      <w:pStyle w:val="Footer"/>
      <w:jc w:val="center"/>
      <w:rPr>
        <w:rFonts w:ascii="Arial" w:hAnsi="Arial" w:cs="Arial"/>
        <w:color w:val="80808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C5D26" w14:textId="77777777" w:rsidR="00E417EA" w:rsidRDefault="00E417EA" w:rsidP="008E6C18">
      <w:pPr>
        <w:spacing w:after="0" w:line="240" w:lineRule="auto"/>
      </w:pPr>
      <w:r>
        <w:separator/>
      </w:r>
    </w:p>
  </w:footnote>
  <w:footnote w:type="continuationSeparator" w:id="0">
    <w:p w14:paraId="4978A8E8" w14:textId="77777777" w:rsidR="00E417EA" w:rsidRDefault="00E417EA" w:rsidP="008E6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033F"/>
    <w:multiLevelType w:val="hybridMultilevel"/>
    <w:tmpl w:val="76EC9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576F0"/>
    <w:multiLevelType w:val="hybridMultilevel"/>
    <w:tmpl w:val="6A7CB1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07B6E"/>
    <w:multiLevelType w:val="hybridMultilevel"/>
    <w:tmpl w:val="D092FD26"/>
    <w:lvl w:ilvl="0" w:tplc="28B277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F0F0C"/>
    <w:multiLevelType w:val="multilevel"/>
    <w:tmpl w:val="8174BE30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C368C6"/>
    <w:multiLevelType w:val="hybridMultilevel"/>
    <w:tmpl w:val="81FE91A8"/>
    <w:lvl w:ilvl="0" w:tplc="BB3C9C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3775"/>
    <w:multiLevelType w:val="hybridMultilevel"/>
    <w:tmpl w:val="68AC0D0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7710C4"/>
    <w:multiLevelType w:val="multilevel"/>
    <w:tmpl w:val="793C8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1" w:hanging="2160"/>
      </w:pPr>
      <w:rPr>
        <w:rFonts w:hint="default"/>
      </w:rPr>
    </w:lvl>
  </w:abstractNum>
  <w:abstractNum w:abstractNumId="7" w15:restartNumberingAfterBreak="0">
    <w:nsid w:val="359B2986"/>
    <w:multiLevelType w:val="hybridMultilevel"/>
    <w:tmpl w:val="C030767A"/>
    <w:lvl w:ilvl="0" w:tplc="497C868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2E91C62"/>
    <w:multiLevelType w:val="hybridMultilevel"/>
    <w:tmpl w:val="1FEAAE0A"/>
    <w:lvl w:ilvl="0" w:tplc="9294DE98">
      <w:numFmt w:val="bullet"/>
      <w:lvlText w:val="-"/>
      <w:lvlJc w:val="left"/>
      <w:pPr>
        <w:ind w:left="124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 w15:restartNumberingAfterBreak="0">
    <w:nsid w:val="453E26AF"/>
    <w:multiLevelType w:val="hybridMultilevel"/>
    <w:tmpl w:val="92487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D354F"/>
    <w:multiLevelType w:val="hybridMultilevel"/>
    <w:tmpl w:val="6DCC8EFC"/>
    <w:lvl w:ilvl="0" w:tplc="34C01C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F45F0"/>
    <w:multiLevelType w:val="hybridMultilevel"/>
    <w:tmpl w:val="F2C62F5E"/>
    <w:lvl w:ilvl="0" w:tplc="497C8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B2C6D"/>
    <w:multiLevelType w:val="hybridMultilevel"/>
    <w:tmpl w:val="22CEA0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A5A80"/>
    <w:multiLevelType w:val="hybridMultilevel"/>
    <w:tmpl w:val="618EED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75136"/>
    <w:multiLevelType w:val="hybridMultilevel"/>
    <w:tmpl w:val="A1548BF8"/>
    <w:lvl w:ilvl="0" w:tplc="07C8D7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370C1"/>
    <w:multiLevelType w:val="multilevel"/>
    <w:tmpl w:val="F9CE0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1620F3"/>
    <w:multiLevelType w:val="hybridMultilevel"/>
    <w:tmpl w:val="5D04C984"/>
    <w:lvl w:ilvl="0" w:tplc="60F04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B74CBB"/>
    <w:multiLevelType w:val="hybridMultilevel"/>
    <w:tmpl w:val="E452AF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27477"/>
    <w:multiLevelType w:val="hybridMultilevel"/>
    <w:tmpl w:val="E878DBC6"/>
    <w:lvl w:ilvl="0" w:tplc="69766A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931404">
    <w:abstractNumId w:val="8"/>
  </w:num>
  <w:num w:numId="2" w16cid:durableId="1535968839">
    <w:abstractNumId w:val="0"/>
  </w:num>
  <w:num w:numId="3" w16cid:durableId="1493790325">
    <w:abstractNumId w:val="17"/>
  </w:num>
  <w:num w:numId="4" w16cid:durableId="1293170317">
    <w:abstractNumId w:val="14"/>
  </w:num>
  <w:num w:numId="5" w16cid:durableId="1688946719">
    <w:abstractNumId w:val="3"/>
  </w:num>
  <w:num w:numId="6" w16cid:durableId="408043295">
    <w:abstractNumId w:val="11"/>
  </w:num>
  <w:num w:numId="7" w16cid:durableId="930895028">
    <w:abstractNumId w:val="12"/>
  </w:num>
  <w:num w:numId="8" w16cid:durableId="822241036">
    <w:abstractNumId w:val="1"/>
  </w:num>
  <w:num w:numId="9" w16cid:durableId="1712878991">
    <w:abstractNumId w:val="16"/>
  </w:num>
  <w:num w:numId="10" w16cid:durableId="1395857543">
    <w:abstractNumId w:val="5"/>
  </w:num>
  <w:num w:numId="11" w16cid:durableId="1516577926">
    <w:abstractNumId w:val="13"/>
  </w:num>
  <w:num w:numId="12" w16cid:durableId="2086609182">
    <w:abstractNumId w:val="7"/>
  </w:num>
  <w:num w:numId="13" w16cid:durableId="1035731826">
    <w:abstractNumId w:val="10"/>
  </w:num>
  <w:num w:numId="14" w16cid:durableId="1056199872">
    <w:abstractNumId w:val="15"/>
  </w:num>
  <w:num w:numId="15" w16cid:durableId="444231017">
    <w:abstractNumId w:val="18"/>
  </w:num>
  <w:num w:numId="16" w16cid:durableId="746877673">
    <w:abstractNumId w:val="2"/>
  </w:num>
  <w:num w:numId="17" w16cid:durableId="41904774">
    <w:abstractNumId w:val="4"/>
  </w:num>
  <w:num w:numId="18" w16cid:durableId="1549146518">
    <w:abstractNumId w:val="6"/>
  </w:num>
  <w:num w:numId="19" w16cid:durableId="23643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05"/>
    <w:rsid w:val="00013AA4"/>
    <w:rsid w:val="0001776A"/>
    <w:rsid w:val="00023AFC"/>
    <w:rsid w:val="000559D0"/>
    <w:rsid w:val="000568A9"/>
    <w:rsid w:val="00065432"/>
    <w:rsid w:val="0007228A"/>
    <w:rsid w:val="000920DD"/>
    <w:rsid w:val="00094C4E"/>
    <w:rsid w:val="000E688D"/>
    <w:rsid w:val="001144F5"/>
    <w:rsid w:val="001179F8"/>
    <w:rsid w:val="00117D26"/>
    <w:rsid w:val="001443A7"/>
    <w:rsid w:val="0016130F"/>
    <w:rsid w:val="00162103"/>
    <w:rsid w:val="0017341B"/>
    <w:rsid w:val="001807E3"/>
    <w:rsid w:val="001A3070"/>
    <w:rsid w:val="001D0B71"/>
    <w:rsid w:val="001F5E8B"/>
    <w:rsid w:val="00211971"/>
    <w:rsid w:val="002141E0"/>
    <w:rsid w:val="00270CF2"/>
    <w:rsid w:val="002A5667"/>
    <w:rsid w:val="002A7547"/>
    <w:rsid w:val="002B3977"/>
    <w:rsid w:val="002C3280"/>
    <w:rsid w:val="002F2A8F"/>
    <w:rsid w:val="00326504"/>
    <w:rsid w:val="003460C3"/>
    <w:rsid w:val="0034798A"/>
    <w:rsid w:val="00365C92"/>
    <w:rsid w:val="00367DEE"/>
    <w:rsid w:val="003A4352"/>
    <w:rsid w:val="003A43E7"/>
    <w:rsid w:val="003C4038"/>
    <w:rsid w:val="003D30D5"/>
    <w:rsid w:val="003D7B04"/>
    <w:rsid w:val="003E4180"/>
    <w:rsid w:val="003E685B"/>
    <w:rsid w:val="00400068"/>
    <w:rsid w:val="00426B43"/>
    <w:rsid w:val="00456C90"/>
    <w:rsid w:val="004578CC"/>
    <w:rsid w:val="00465B90"/>
    <w:rsid w:val="00472CE8"/>
    <w:rsid w:val="004825C6"/>
    <w:rsid w:val="004978BF"/>
    <w:rsid w:val="004A131B"/>
    <w:rsid w:val="004D145C"/>
    <w:rsid w:val="004E06E2"/>
    <w:rsid w:val="00517AC5"/>
    <w:rsid w:val="005233AE"/>
    <w:rsid w:val="00535235"/>
    <w:rsid w:val="00537705"/>
    <w:rsid w:val="0055488F"/>
    <w:rsid w:val="005727D1"/>
    <w:rsid w:val="005777CF"/>
    <w:rsid w:val="0059313B"/>
    <w:rsid w:val="005941F5"/>
    <w:rsid w:val="005A399A"/>
    <w:rsid w:val="005B44EF"/>
    <w:rsid w:val="005C1357"/>
    <w:rsid w:val="005C2EF7"/>
    <w:rsid w:val="005E0D9E"/>
    <w:rsid w:val="005E1A29"/>
    <w:rsid w:val="00657836"/>
    <w:rsid w:val="006767CF"/>
    <w:rsid w:val="00690168"/>
    <w:rsid w:val="006B1178"/>
    <w:rsid w:val="006B75D5"/>
    <w:rsid w:val="006C4611"/>
    <w:rsid w:val="006C6BF6"/>
    <w:rsid w:val="006D6FF0"/>
    <w:rsid w:val="006F5DC1"/>
    <w:rsid w:val="006F5F0C"/>
    <w:rsid w:val="00705CA9"/>
    <w:rsid w:val="00717BE8"/>
    <w:rsid w:val="0072145C"/>
    <w:rsid w:val="00740768"/>
    <w:rsid w:val="00742108"/>
    <w:rsid w:val="007763E2"/>
    <w:rsid w:val="00794B38"/>
    <w:rsid w:val="00796BE4"/>
    <w:rsid w:val="007A617C"/>
    <w:rsid w:val="007B1565"/>
    <w:rsid w:val="007C0C74"/>
    <w:rsid w:val="007D0A59"/>
    <w:rsid w:val="008149AB"/>
    <w:rsid w:val="008161B0"/>
    <w:rsid w:val="008203F3"/>
    <w:rsid w:val="00831E2E"/>
    <w:rsid w:val="00834B0C"/>
    <w:rsid w:val="00837BAE"/>
    <w:rsid w:val="00862CDB"/>
    <w:rsid w:val="00866328"/>
    <w:rsid w:val="00877B25"/>
    <w:rsid w:val="00880CC7"/>
    <w:rsid w:val="00893D09"/>
    <w:rsid w:val="00896BD2"/>
    <w:rsid w:val="008B392C"/>
    <w:rsid w:val="008C2921"/>
    <w:rsid w:val="008D6135"/>
    <w:rsid w:val="008D77BF"/>
    <w:rsid w:val="008E6928"/>
    <w:rsid w:val="008E6C18"/>
    <w:rsid w:val="00933BDE"/>
    <w:rsid w:val="0093677A"/>
    <w:rsid w:val="00937E96"/>
    <w:rsid w:val="009448E3"/>
    <w:rsid w:val="009451EC"/>
    <w:rsid w:val="009622C7"/>
    <w:rsid w:val="00965952"/>
    <w:rsid w:val="00965AAB"/>
    <w:rsid w:val="00965B87"/>
    <w:rsid w:val="00973D50"/>
    <w:rsid w:val="0097664C"/>
    <w:rsid w:val="0098530F"/>
    <w:rsid w:val="00995C6B"/>
    <w:rsid w:val="009A10ED"/>
    <w:rsid w:val="009A193C"/>
    <w:rsid w:val="009A75DE"/>
    <w:rsid w:val="009B2264"/>
    <w:rsid w:val="009B4D24"/>
    <w:rsid w:val="009B71A2"/>
    <w:rsid w:val="009C575F"/>
    <w:rsid w:val="009D55B3"/>
    <w:rsid w:val="009E42EC"/>
    <w:rsid w:val="009E4F34"/>
    <w:rsid w:val="009E534D"/>
    <w:rsid w:val="009E6A83"/>
    <w:rsid w:val="00A125F7"/>
    <w:rsid w:val="00A2671F"/>
    <w:rsid w:val="00A30CDF"/>
    <w:rsid w:val="00A42CAE"/>
    <w:rsid w:val="00A65119"/>
    <w:rsid w:val="00A73D55"/>
    <w:rsid w:val="00AA1650"/>
    <w:rsid w:val="00AB4228"/>
    <w:rsid w:val="00AB4434"/>
    <w:rsid w:val="00AF233D"/>
    <w:rsid w:val="00AF73BC"/>
    <w:rsid w:val="00B03681"/>
    <w:rsid w:val="00B05A0C"/>
    <w:rsid w:val="00B06D7B"/>
    <w:rsid w:val="00B07A37"/>
    <w:rsid w:val="00B501A0"/>
    <w:rsid w:val="00B6325A"/>
    <w:rsid w:val="00B709F4"/>
    <w:rsid w:val="00B81D51"/>
    <w:rsid w:val="00B9214F"/>
    <w:rsid w:val="00BE364E"/>
    <w:rsid w:val="00BE6D7A"/>
    <w:rsid w:val="00C03363"/>
    <w:rsid w:val="00C054F6"/>
    <w:rsid w:val="00C14D53"/>
    <w:rsid w:val="00C252A8"/>
    <w:rsid w:val="00C36CB5"/>
    <w:rsid w:val="00C371D6"/>
    <w:rsid w:val="00C61CBC"/>
    <w:rsid w:val="00C73DE3"/>
    <w:rsid w:val="00C82FD0"/>
    <w:rsid w:val="00C90C32"/>
    <w:rsid w:val="00CF37A4"/>
    <w:rsid w:val="00CF5934"/>
    <w:rsid w:val="00D031D5"/>
    <w:rsid w:val="00D06833"/>
    <w:rsid w:val="00D240C6"/>
    <w:rsid w:val="00D34AA1"/>
    <w:rsid w:val="00D35EBC"/>
    <w:rsid w:val="00D4030C"/>
    <w:rsid w:val="00D44074"/>
    <w:rsid w:val="00D516A1"/>
    <w:rsid w:val="00D9341B"/>
    <w:rsid w:val="00DD1AD6"/>
    <w:rsid w:val="00DE5731"/>
    <w:rsid w:val="00E012F2"/>
    <w:rsid w:val="00E0221F"/>
    <w:rsid w:val="00E041A4"/>
    <w:rsid w:val="00E07033"/>
    <w:rsid w:val="00E22DAA"/>
    <w:rsid w:val="00E26218"/>
    <w:rsid w:val="00E26D3C"/>
    <w:rsid w:val="00E417EA"/>
    <w:rsid w:val="00E86C8B"/>
    <w:rsid w:val="00EB5F56"/>
    <w:rsid w:val="00EB78E9"/>
    <w:rsid w:val="00F22DE7"/>
    <w:rsid w:val="00F23AD8"/>
    <w:rsid w:val="00F465B8"/>
    <w:rsid w:val="00F476C9"/>
    <w:rsid w:val="00F57F7D"/>
    <w:rsid w:val="00F817FF"/>
    <w:rsid w:val="00FA315D"/>
    <w:rsid w:val="00FA781D"/>
    <w:rsid w:val="00FA7B59"/>
    <w:rsid w:val="00FB47A3"/>
    <w:rsid w:val="00FD1870"/>
    <w:rsid w:val="00FD215D"/>
    <w:rsid w:val="00FD34B9"/>
    <w:rsid w:val="00FD492B"/>
    <w:rsid w:val="00FF314C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756EF"/>
  <w15:chartTrackingRefBased/>
  <w15:docId w15:val="{53D1F267-983A-4D0B-BE92-66DC064A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731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0920DD"/>
    <w:pPr>
      <w:numPr>
        <w:numId w:val="5"/>
      </w:numPr>
      <w:spacing w:before="240" w:after="240"/>
      <w:outlineLvl w:val="0"/>
    </w:pPr>
    <w:rPr>
      <w:rFonts w:cs="Times New Roman"/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218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377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6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C18"/>
  </w:style>
  <w:style w:type="paragraph" w:styleId="Footer">
    <w:name w:val="footer"/>
    <w:basedOn w:val="Normal"/>
    <w:link w:val="FooterChar"/>
    <w:uiPriority w:val="99"/>
    <w:unhideWhenUsed/>
    <w:rsid w:val="008E6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C18"/>
  </w:style>
  <w:style w:type="character" w:styleId="FollowedHyperlink">
    <w:name w:val="FollowedHyperlink"/>
    <w:rsid w:val="008E6C18"/>
    <w:rPr>
      <w:color w:val="800080"/>
      <w:u w:val="single"/>
    </w:rPr>
  </w:style>
  <w:style w:type="paragraph" w:styleId="Revision">
    <w:name w:val="Revision"/>
    <w:hidden/>
    <w:uiPriority w:val="99"/>
    <w:semiHidden/>
    <w:rsid w:val="00796BE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6D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D3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920DD"/>
    <w:rPr>
      <w:rFonts w:ascii="Times New Roman" w:hAnsi="Times New Roman" w:cs="Times New Roman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DE5731"/>
    <w:pPr>
      <w:keepNext/>
      <w:keepLines/>
      <w:numPr>
        <w:numId w:val="0"/>
      </w:numPr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DE5731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E26218"/>
    <w:rPr>
      <w:rFonts w:ascii="Times New Roman" w:eastAsiaTheme="majorEastAsia" w:hAnsi="Times New Roman" w:cstheme="majorBidi"/>
      <w:b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E26218"/>
    <w:pPr>
      <w:spacing w:after="100"/>
      <w:ind w:left="240"/>
    </w:pPr>
  </w:style>
  <w:style w:type="paragraph" w:styleId="BodyText">
    <w:name w:val="Body Text"/>
    <w:basedOn w:val="Normal"/>
    <w:link w:val="BodyTextChar"/>
    <w:uiPriority w:val="1"/>
    <w:qFormat/>
    <w:rsid w:val="006B75D5"/>
    <w:pPr>
      <w:widowControl w:val="0"/>
      <w:autoSpaceDE w:val="0"/>
      <w:autoSpaceDN w:val="0"/>
      <w:spacing w:after="0"/>
      <w:jc w:val="left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B75D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7033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E07033"/>
    <w:rPr>
      <w:b/>
      <w:bCs/>
    </w:rPr>
  </w:style>
  <w:style w:type="table" w:styleId="TableGrid">
    <w:name w:val="Table Grid"/>
    <w:basedOn w:val="TableNormal"/>
    <w:uiPriority w:val="39"/>
    <w:rsid w:val="00F465B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Layout" Target="diagrams/layout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8AC22A3-D4C3-4153-973C-808A16A9E39B}" type="doc">
      <dgm:prSet loTypeId="urn:microsoft.com/office/officeart/2005/8/layout/orgChart1" loCatId="hierarchy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F3511212-B8A3-460D-884C-CD9DF704F145}">
      <dgm:prSet phldrT="[Tekst]"/>
      <dgm:spPr/>
      <dgm:t>
        <a:bodyPr/>
        <a:lstStyle/>
        <a:p>
          <a:pPr algn="ctr"/>
          <a:r>
            <a:rPr lang="hr-HR"/>
            <a:t>Ravnatelj </a:t>
          </a:r>
        </a:p>
      </dgm:t>
    </dgm:pt>
    <dgm:pt modelId="{BA4A3276-4EDA-4DC3-81EC-77C97D169EFC}" type="parTrans" cxnId="{706829A3-F0E8-4054-BDE6-56E29A265670}">
      <dgm:prSet/>
      <dgm:spPr/>
      <dgm:t>
        <a:bodyPr/>
        <a:lstStyle/>
        <a:p>
          <a:pPr algn="ctr"/>
          <a:endParaRPr lang="hr-HR"/>
        </a:p>
      </dgm:t>
    </dgm:pt>
    <dgm:pt modelId="{CCFECD27-5F83-4479-A54B-92163BAE45BB}" type="sibTrans" cxnId="{706829A3-F0E8-4054-BDE6-56E29A265670}">
      <dgm:prSet/>
      <dgm:spPr/>
      <dgm:t>
        <a:bodyPr/>
        <a:lstStyle/>
        <a:p>
          <a:pPr algn="ctr"/>
          <a:endParaRPr lang="hr-HR"/>
        </a:p>
      </dgm:t>
    </dgm:pt>
    <dgm:pt modelId="{ACFBD61D-EFCA-4E2B-AA51-180D86CB34EE}">
      <dgm:prSet phldrT="[Tekst]"/>
      <dgm:spPr/>
      <dgm:t>
        <a:bodyPr/>
        <a:lstStyle/>
        <a:p>
          <a:pPr algn="ctr"/>
          <a:r>
            <a:rPr lang="hr-HR"/>
            <a:t>Viši stručni suradnik za pripremu i provedbu projekata</a:t>
          </a:r>
        </a:p>
      </dgm:t>
    </dgm:pt>
    <dgm:pt modelId="{6AE7B58D-1C1C-4F26-B846-C0F0C5B43B57}" type="parTrans" cxnId="{C7A6F899-9E21-4EE4-AC0A-237A49EC08C1}">
      <dgm:prSet/>
      <dgm:spPr/>
      <dgm:t>
        <a:bodyPr/>
        <a:lstStyle/>
        <a:p>
          <a:pPr algn="ctr"/>
          <a:endParaRPr lang="hr-HR"/>
        </a:p>
      </dgm:t>
    </dgm:pt>
    <dgm:pt modelId="{C23757EB-A641-4AE8-868F-59F53C36589B}" type="sibTrans" cxnId="{C7A6F899-9E21-4EE4-AC0A-237A49EC08C1}">
      <dgm:prSet/>
      <dgm:spPr/>
      <dgm:t>
        <a:bodyPr/>
        <a:lstStyle/>
        <a:p>
          <a:pPr algn="ctr"/>
          <a:endParaRPr lang="hr-HR"/>
        </a:p>
      </dgm:t>
    </dgm:pt>
    <dgm:pt modelId="{544E9241-78F6-45C7-A5C9-C52A3625BC3D}">
      <dgm:prSet/>
      <dgm:spPr/>
      <dgm:t>
        <a:bodyPr/>
        <a:lstStyle/>
        <a:p>
          <a:pPr algn="ctr"/>
          <a:r>
            <a:rPr lang="hr-HR"/>
            <a:t>Viši stručni suradnik za pripremu i provedbu projekata</a:t>
          </a:r>
        </a:p>
      </dgm:t>
    </dgm:pt>
    <dgm:pt modelId="{503C6E9D-4044-4D15-BD73-50FDD385E9A0}" type="parTrans" cxnId="{B36CB91F-006F-4E21-80DF-B5AC3F6CAE2F}">
      <dgm:prSet/>
      <dgm:spPr/>
      <dgm:t>
        <a:bodyPr/>
        <a:lstStyle/>
        <a:p>
          <a:pPr algn="ctr"/>
          <a:endParaRPr lang="hr-HR"/>
        </a:p>
      </dgm:t>
    </dgm:pt>
    <dgm:pt modelId="{1F20CAA2-CA50-451C-8B96-589B1F246514}" type="sibTrans" cxnId="{B36CB91F-006F-4E21-80DF-B5AC3F6CAE2F}">
      <dgm:prSet/>
      <dgm:spPr/>
      <dgm:t>
        <a:bodyPr/>
        <a:lstStyle/>
        <a:p>
          <a:pPr algn="ctr"/>
          <a:endParaRPr lang="hr-HR"/>
        </a:p>
      </dgm:t>
    </dgm:pt>
    <dgm:pt modelId="{A6B9C999-8E9A-4974-A43B-E564801B5B18}" type="pres">
      <dgm:prSet presAssocID="{98AC22A3-D4C3-4153-973C-808A16A9E39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B27C00E-CD3B-4334-AEB0-27BE389D895E}" type="pres">
      <dgm:prSet presAssocID="{F3511212-B8A3-460D-884C-CD9DF704F145}" presName="hierRoot1" presStyleCnt="0">
        <dgm:presLayoutVars>
          <dgm:hierBranch val="init"/>
        </dgm:presLayoutVars>
      </dgm:prSet>
      <dgm:spPr/>
    </dgm:pt>
    <dgm:pt modelId="{666EE27C-AE06-4E30-B27E-911F908A1592}" type="pres">
      <dgm:prSet presAssocID="{F3511212-B8A3-460D-884C-CD9DF704F145}" presName="rootComposite1" presStyleCnt="0"/>
      <dgm:spPr/>
    </dgm:pt>
    <dgm:pt modelId="{44683E54-181B-491F-9B04-1178FBD1DDFD}" type="pres">
      <dgm:prSet presAssocID="{F3511212-B8A3-460D-884C-CD9DF704F145}" presName="rootText1" presStyleLbl="node0" presStyleIdx="0" presStyleCnt="1">
        <dgm:presLayoutVars>
          <dgm:chPref val="3"/>
        </dgm:presLayoutVars>
      </dgm:prSet>
      <dgm:spPr/>
    </dgm:pt>
    <dgm:pt modelId="{57E372BB-96B6-489C-9D05-EB44FE675E89}" type="pres">
      <dgm:prSet presAssocID="{F3511212-B8A3-460D-884C-CD9DF704F145}" presName="rootConnector1" presStyleLbl="node1" presStyleIdx="0" presStyleCnt="0"/>
      <dgm:spPr/>
    </dgm:pt>
    <dgm:pt modelId="{9F98787F-55C7-4135-A01A-F353D8676081}" type="pres">
      <dgm:prSet presAssocID="{F3511212-B8A3-460D-884C-CD9DF704F145}" presName="hierChild2" presStyleCnt="0"/>
      <dgm:spPr/>
    </dgm:pt>
    <dgm:pt modelId="{C0546208-C9F8-43D6-A031-E466D93BE414}" type="pres">
      <dgm:prSet presAssocID="{6AE7B58D-1C1C-4F26-B846-C0F0C5B43B57}" presName="Name37" presStyleLbl="parChTrans1D2" presStyleIdx="0" presStyleCnt="2"/>
      <dgm:spPr/>
    </dgm:pt>
    <dgm:pt modelId="{0D92F7EC-17F7-42B0-BC9D-B77CD49055CC}" type="pres">
      <dgm:prSet presAssocID="{ACFBD61D-EFCA-4E2B-AA51-180D86CB34EE}" presName="hierRoot2" presStyleCnt="0">
        <dgm:presLayoutVars>
          <dgm:hierBranch val="init"/>
        </dgm:presLayoutVars>
      </dgm:prSet>
      <dgm:spPr/>
    </dgm:pt>
    <dgm:pt modelId="{589ABA04-9F60-4950-93D7-D8F379597EC7}" type="pres">
      <dgm:prSet presAssocID="{ACFBD61D-EFCA-4E2B-AA51-180D86CB34EE}" presName="rootComposite" presStyleCnt="0"/>
      <dgm:spPr/>
    </dgm:pt>
    <dgm:pt modelId="{D6248AF4-2F32-4DD7-894B-2EAD49732FE4}" type="pres">
      <dgm:prSet presAssocID="{ACFBD61D-EFCA-4E2B-AA51-180D86CB34EE}" presName="rootText" presStyleLbl="node2" presStyleIdx="0" presStyleCnt="2">
        <dgm:presLayoutVars>
          <dgm:chPref val="3"/>
        </dgm:presLayoutVars>
      </dgm:prSet>
      <dgm:spPr/>
    </dgm:pt>
    <dgm:pt modelId="{A5EDDBD0-8055-490E-ABB0-9E06C1416F46}" type="pres">
      <dgm:prSet presAssocID="{ACFBD61D-EFCA-4E2B-AA51-180D86CB34EE}" presName="rootConnector" presStyleLbl="node2" presStyleIdx="0" presStyleCnt="2"/>
      <dgm:spPr/>
    </dgm:pt>
    <dgm:pt modelId="{88F6D0E4-53A4-4B42-A527-BA73397F2343}" type="pres">
      <dgm:prSet presAssocID="{ACFBD61D-EFCA-4E2B-AA51-180D86CB34EE}" presName="hierChild4" presStyleCnt="0"/>
      <dgm:spPr/>
    </dgm:pt>
    <dgm:pt modelId="{0EC8886B-A2EF-49DD-9977-BB423B49CDE4}" type="pres">
      <dgm:prSet presAssocID="{ACFBD61D-EFCA-4E2B-AA51-180D86CB34EE}" presName="hierChild5" presStyleCnt="0"/>
      <dgm:spPr/>
    </dgm:pt>
    <dgm:pt modelId="{10E13E67-036F-4156-857D-EFC60EE168F5}" type="pres">
      <dgm:prSet presAssocID="{503C6E9D-4044-4D15-BD73-50FDD385E9A0}" presName="Name37" presStyleLbl="parChTrans1D2" presStyleIdx="1" presStyleCnt="2"/>
      <dgm:spPr/>
    </dgm:pt>
    <dgm:pt modelId="{EA0F2557-C66A-4653-948C-77080755DF0B}" type="pres">
      <dgm:prSet presAssocID="{544E9241-78F6-45C7-A5C9-C52A3625BC3D}" presName="hierRoot2" presStyleCnt="0">
        <dgm:presLayoutVars>
          <dgm:hierBranch val="init"/>
        </dgm:presLayoutVars>
      </dgm:prSet>
      <dgm:spPr/>
    </dgm:pt>
    <dgm:pt modelId="{F709FC38-5C44-424D-A266-1D87761A8049}" type="pres">
      <dgm:prSet presAssocID="{544E9241-78F6-45C7-A5C9-C52A3625BC3D}" presName="rootComposite" presStyleCnt="0"/>
      <dgm:spPr/>
    </dgm:pt>
    <dgm:pt modelId="{09CBD000-E506-40A0-A833-C99384F5BB8D}" type="pres">
      <dgm:prSet presAssocID="{544E9241-78F6-45C7-A5C9-C52A3625BC3D}" presName="rootText" presStyleLbl="node2" presStyleIdx="1" presStyleCnt="2">
        <dgm:presLayoutVars>
          <dgm:chPref val="3"/>
        </dgm:presLayoutVars>
      </dgm:prSet>
      <dgm:spPr/>
    </dgm:pt>
    <dgm:pt modelId="{DC6332CB-CFEB-4EF2-9912-4A81B97502B0}" type="pres">
      <dgm:prSet presAssocID="{544E9241-78F6-45C7-A5C9-C52A3625BC3D}" presName="rootConnector" presStyleLbl="node2" presStyleIdx="1" presStyleCnt="2"/>
      <dgm:spPr/>
    </dgm:pt>
    <dgm:pt modelId="{ED3098E4-4363-4BAA-8178-948AB7CD8E66}" type="pres">
      <dgm:prSet presAssocID="{544E9241-78F6-45C7-A5C9-C52A3625BC3D}" presName="hierChild4" presStyleCnt="0"/>
      <dgm:spPr/>
    </dgm:pt>
    <dgm:pt modelId="{CA5CB69F-69B4-4966-BD3D-A2E1453E4360}" type="pres">
      <dgm:prSet presAssocID="{544E9241-78F6-45C7-A5C9-C52A3625BC3D}" presName="hierChild5" presStyleCnt="0"/>
      <dgm:spPr/>
    </dgm:pt>
    <dgm:pt modelId="{393B0F68-2C63-40E3-96B9-953D9BACB32F}" type="pres">
      <dgm:prSet presAssocID="{F3511212-B8A3-460D-884C-CD9DF704F145}" presName="hierChild3" presStyleCnt="0"/>
      <dgm:spPr/>
    </dgm:pt>
  </dgm:ptLst>
  <dgm:cxnLst>
    <dgm:cxn modelId="{7A297D19-0505-4949-9A59-3E2E83ECC00A}" type="presOf" srcId="{544E9241-78F6-45C7-A5C9-C52A3625BC3D}" destId="{09CBD000-E506-40A0-A833-C99384F5BB8D}" srcOrd="0" destOrd="0" presId="urn:microsoft.com/office/officeart/2005/8/layout/orgChart1"/>
    <dgm:cxn modelId="{B36CB91F-006F-4E21-80DF-B5AC3F6CAE2F}" srcId="{F3511212-B8A3-460D-884C-CD9DF704F145}" destId="{544E9241-78F6-45C7-A5C9-C52A3625BC3D}" srcOrd="1" destOrd="0" parTransId="{503C6E9D-4044-4D15-BD73-50FDD385E9A0}" sibTransId="{1F20CAA2-CA50-451C-8B96-589B1F246514}"/>
    <dgm:cxn modelId="{F7D04E32-64CB-4C7D-B9A5-CF4F30725EC4}" type="presOf" srcId="{ACFBD61D-EFCA-4E2B-AA51-180D86CB34EE}" destId="{D6248AF4-2F32-4DD7-894B-2EAD49732FE4}" srcOrd="0" destOrd="0" presId="urn:microsoft.com/office/officeart/2005/8/layout/orgChart1"/>
    <dgm:cxn modelId="{4EC1F23A-D079-4C66-8BE2-DC4F458A98C3}" type="presOf" srcId="{ACFBD61D-EFCA-4E2B-AA51-180D86CB34EE}" destId="{A5EDDBD0-8055-490E-ABB0-9E06C1416F46}" srcOrd="1" destOrd="0" presId="urn:microsoft.com/office/officeart/2005/8/layout/orgChart1"/>
    <dgm:cxn modelId="{A760BB61-EAC0-4938-BCB3-CCD063BDC3ED}" type="presOf" srcId="{544E9241-78F6-45C7-A5C9-C52A3625BC3D}" destId="{DC6332CB-CFEB-4EF2-9912-4A81B97502B0}" srcOrd="1" destOrd="0" presId="urn:microsoft.com/office/officeart/2005/8/layout/orgChart1"/>
    <dgm:cxn modelId="{3FA5716D-6DFD-4397-AD0D-973C31ACED68}" type="presOf" srcId="{503C6E9D-4044-4D15-BD73-50FDD385E9A0}" destId="{10E13E67-036F-4156-857D-EFC60EE168F5}" srcOrd="0" destOrd="0" presId="urn:microsoft.com/office/officeart/2005/8/layout/orgChart1"/>
    <dgm:cxn modelId="{1E96F986-D5B8-4D08-816B-0EBC0435E3CE}" type="presOf" srcId="{98AC22A3-D4C3-4153-973C-808A16A9E39B}" destId="{A6B9C999-8E9A-4974-A43B-E564801B5B18}" srcOrd="0" destOrd="0" presId="urn:microsoft.com/office/officeart/2005/8/layout/orgChart1"/>
    <dgm:cxn modelId="{C7A6F899-9E21-4EE4-AC0A-237A49EC08C1}" srcId="{F3511212-B8A3-460D-884C-CD9DF704F145}" destId="{ACFBD61D-EFCA-4E2B-AA51-180D86CB34EE}" srcOrd="0" destOrd="0" parTransId="{6AE7B58D-1C1C-4F26-B846-C0F0C5B43B57}" sibTransId="{C23757EB-A641-4AE8-868F-59F53C36589B}"/>
    <dgm:cxn modelId="{706829A3-F0E8-4054-BDE6-56E29A265670}" srcId="{98AC22A3-D4C3-4153-973C-808A16A9E39B}" destId="{F3511212-B8A3-460D-884C-CD9DF704F145}" srcOrd="0" destOrd="0" parTransId="{BA4A3276-4EDA-4DC3-81EC-77C97D169EFC}" sibTransId="{CCFECD27-5F83-4479-A54B-92163BAE45BB}"/>
    <dgm:cxn modelId="{D1571FBA-5251-436E-B1BD-651B98D9D726}" type="presOf" srcId="{6AE7B58D-1C1C-4F26-B846-C0F0C5B43B57}" destId="{C0546208-C9F8-43D6-A031-E466D93BE414}" srcOrd="0" destOrd="0" presId="urn:microsoft.com/office/officeart/2005/8/layout/orgChart1"/>
    <dgm:cxn modelId="{012CB9CE-6CBC-493A-B53D-1ED7035F1DB0}" type="presOf" srcId="{F3511212-B8A3-460D-884C-CD9DF704F145}" destId="{44683E54-181B-491F-9B04-1178FBD1DDFD}" srcOrd="0" destOrd="0" presId="urn:microsoft.com/office/officeart/2005/8/layout/orgChart1"/>
    <dgm:cxn modelId="{B5A241F1-89B5-44E9-912F-CAB0FABDEFC4}" type="presOf" srcId="{F3511212-B8A3-460D-884C-CD9DF704F145}" destId="{57E372BB-96B6-489C-9D05-EB44FE675E89}" srcOrd="1" destOrd="0" presId="urn:microsoft.com/office/officeart/2005/8/layout/orgChart1"/>
    <dgm:cxn modelId="{1247ACB7-9B9B-453D-9B63-4E34644068EA}" type="presParOf" srcId="{A6B9C999-8E9A-4974-A43B-E564801B5B18}" destId="{2B27C00E-CD3B-4334-AEB0-27BE389D895E}" srcOrd="0" destOrd="0" presId="urn:microsoft.com/office/officeart/2005/8/layout/orgChart1"/>
    <dgm:cxn modelId="{CBD26ADC-0AB2-42F4-B02F-F15AF1B006DF}" type="presParOf" srcId="{2B27C00E-CD3B-4334-AEB0-27BE389D895E}" destId="{666EE27C-AE06-4E30-B27E-911F908A1592}" srcOrd="0" destOrd="0" presId="urn:microsoft.com/office/officeart/2005/8/layout/orgChart1"/>
    <dgm:cxn modelId="{8BD08C38-3A1F-492C-BB35-25BC6FA6D762}" type="presParOf" srcId="{666EE27C-AE06-4E30-B27E-911F908A1592}" destId="{44683E54-181B-491F-9B04-1178FBD1DDFD}" srcOrd="0" destOrd="0" presId="urn:microsoft.com/office/officeart/2005/8/layout/orgChart1"/>
    <dgm:cxn modelId="{3A68B767-D461-42A1-9F74-4D8C4B45346C}" type="presParOf" srcId="{666EE27C-AE06-4E30-B27E-911F908A1592}" destId="{57E372BB-96B6-489C-9D05-EB44FE675E89}" srcOrd="1" destOrd="0" presId="urn:microsoft.com/office/officeart/2005/8/layout/orgChart1"/>
    <dgm:cxn modelId="{3603CF07-6EB7-4C56-AE67-C066976023D8}" type="presParOf" srcId="{2B27C00E-CD3B-4334-AEB0-27BE389D895E}" destId="{9F98787F-55C7-4135-A01A-F353D8676081}" srcOrd="1" destOrd="0" presId="urn:microsoft.com/office/officeart/2005/8/layout/orgChart1"/>
    <dgm:cxn modelId="{0FD3DF8E-FCAE-466F-873E-8C5AF74398B6}" type="presParOf" srcId="{9F98787F-55C7-4135-A01A-F353D8676081}" destId="{C0546208-C9F8-43D6-A031-E466D93BE414}" srcOrd="0" destOrd="0" presId="urn:microsoft.com/office/officeart/2005/8/layout/orgChart1"/>
    <dgm:cxn modelId="{B160FCDB-5A13-4A89-A23D-7996DA986859}" type="presParOf" srcId="{9F98787F-55C7-4135-A01A-F353D8676081}" destId="{0D92F7EC-17F7-42B0-BC9D-B77CD49055CC}" srcOrd="1" destOrd="0" presId="urn:microsoft.com/office/officeart/2005/8/layout/orgChart1"/>
    <dgm:cxn modelId="{7EFA5A23-A69A-451D-B95E-2E1F88EB9C15}" type="presParOf" srcId="{0D92F7EC-17F7-42B0-BC9D-B77CD49055CC}" destId="{589ABA04-9F60-4950-93D7-D8F379597EC7}" srcOrd="0" destOrd="0" presId="urn:microsoft.com/office/officeart/2005/8/layout/orgChart1"/>
    <dgm:cxn modelId="{204EE2E6-1B0F-4643-AEEE-05DAD1B6EEA4}" type="presParOf" srcId="{589ABA04-9F60-4950-93D7-D8F379597EC7}" destId="{D6248AF4-2F32-4DD7-894B-2EAD49732FE4}" srcOrd="0" destOrd="0" presId="urn:microsoft.com/office/officeart/2005/8/layout/orgChart1"/>
    <dgm:cxn modelId="{5EE4F741-D8B5-48AD-84D1-2B17534DA496}" type="presParOf" srcId="{589ABA04-9F60-4950-93D7-D8F379597EC7}" destId="{A5EDDBD0-8055-490E-ABB0-9E06C1416F46}" srcOrd="1" destOrd="0" presId="urn:microsoft.com/office/officeart/2005/8/layout/orgChart1"/>
    <dgm:cxn modelId="{309ABEED-3772-4F65-81C9-3D1AFFA5433A}" type="presParOf" srcId="{0D92F7EC-17F7-42B0-BC9D-B77CD49055CC}" destId="{88F6D0E4-53A4-4B42-A527-BA73397F2343}" srcOrd="1" destOrd="0" presId="urn:microsoft.com/office/officeart/2005/8/layout/orgChart1"/>
    <dgm:cxn modelId="{34523BD7-F55D-4ADB-A1BC-79610E09BE79}" type="presParOf" srcId="{0D92F7EC-17F7-42B0-BC9D-B77CD49055CC}" destId="{0EC8886B-A2EF-49DD-9977-BB423B49CDE4}" srcOrd="2" destOrd="0" presId="urn:microsoft.com/office/officeart/2005/8/layout/orgChart1"/>
    <dgm:cxn modelId="{15486171-2E42-4A78-968E-658DD19A20E1}" type="presParOf" srcId="{9F98787F-55C7-4135-A01A-F353D8676081}" destId="{10E13E67-036F-4156-857D-EFC60EE168F5}" srcOrd="2" destOrd="0" presId="urn:microsoft.com/office/officeart/2005/8/layout/orgChart1"/>
    <dgm:cxn modelId="{2AD37537-B13C-443D-9DB0-622963A57C18}" type="presParOf" srcId="{9F98787F-55C7-4135-A01A-F353D8676081}" destId="{EA0F2557-C66A-4653-948C-77080755DF0B}" srcOrd="3" destOrd="0" presId="urn:microsoft.com/office/officeart/2005/8/layout/orgChart1"/>
    <dgm:cxn modelId="{D7B25A6C-0698-4F50-8785-2194F11DA77A}" type="presParOf" srcId="{EA0F2557-C66A-4653-948C-77080755DF0B}" destId="{F709FC38-5C44-424D-A266-1D87761A8049}" srcOrd="0" destOrd="0" presId="urn:microsoft.com/office/officeart/2005/8/layout/orgChart1"/>
    <dgm:cxn modelId="{51331CB1-638F-43FB-896C-E053BCDBB8EE}" type="presParOf" srcId="{F709FC38-5C44-424D-A266-1D87761A8049}" destId="{09CBD000-E506-40A0-A833-C99384F5BB8D}" srcOrd="0" destOrd="0" presId="urn:microsoft.com/office/officeart/2005/8/layout/orgChart1"/>
    <dgm:cxn modelId="{736D6960-C5EE-47E6-9CAC-37A4DF79CCC5}" type="presParOf" srcId="{F709FC38-5C44-424D-A266-1D87761A8049}" destId="{DC6332CB-CFEB-4EF2-9912-4A81B97502B0}" srcOrd="1" destOrd="0" presId="urn:microsoft.com/office/officeart/2005/8/layout/orgChart1"/>
    <dgm:cxn modelId="{E3C564E9-525E-4F66-B707-B71F86E0EAA1}" type="presParOf" srcId="{EA0F2557-C66A-4653-948C-77080755DF0B}" destId="{ED3098E4-4363-4BAA-8178-948AB7CD8E66}" srcOrd="1" destOrd="0" presId="urn:microsoft.com/office/officeart/2005/8/layout/orgChart1"/>
    <dgm:cxn modelId="{D43AC580-2FF0-4B74-A45E-A1B9D9E21408}" type="presParOf" srcId="{EA0F2557-C66A-4653-948C-77080755DF0B}" destId="{CA5CB69F-69B4-4966-BD3D-A2E1453E4360}" srcOrd="2" destOrd="0" presId="urn:microsoft.com/office/officeart/2005/8/layout/orgChart1"/>
    <dgm:cxn modelId="{60C0A8F6-0BF0-4733-A5BA-E61DE2DFE523}" type="presParOf" srcId="{2B27C00E-CD3B-4334-AEB0-27BE389D895E}" destId="{393B0F68-2C63-40E3-96B9-953D9BACB32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E13E67-036F-4156-857D-EFC60EE168F5}">
      <dsp:nvSpPr>
        <dsp:cNvPr id="0" name=""/>
        <dsp:cNvSpPr/>
      </dsp:nvSpPr>
      <dsp:spPr>
        <a:xfrm>
          <a:off x="1817370" y="920862"/>
          <a:ext cx="994550" cy="3452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607"/>
              </a:lnTo>
              <a:lnTo>
                <a:pt x="994550" y="172607"/>
              </a:lnTo>
              <a:lnTo>
                <a:pt x="994550" y="3452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546208-C9F8-43D6-A031-E466D93BE414}">
      <dsp:nvSpPr>
        <dsp:cNvPr id="0" name=""/>
        <dsp:cNvSpPr/>
      </dsp:nvSpPr>
      <dsp:spPr>
        <a:xfrm>
          <a:off x="822819" y="920862"/>
          <a:ext cx="994550" cy="345215"/>
        </a:xfrm>
        <a:custGeom>
          <a:avLst/>
          <a:gdLst/>
          <a:ahLst/>
          <a:cxnLst/>
          <a:rect l="0" t="0" r="0" b="0"/>
          <a:pathLst>
            <a:path>
              <a:moveTo>
                <a:pt x="994550" y="0"/>
              </a:moveTo>
              <a:lnTo>
                <a:pt x="994550" y="172607"/>
              </a:lnTo>
              <a:lnTo>
                <a:pt x="0" y="172607"/>
              </a:lnTo>
              <a:lnTo>
                <a:pt x="0" y="3452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683E54-181B-491F-9B04-1178FBD1DDFD}">
      <dsp:nvSpPr>
        <dsp:cNvPr id="0" name=""/>
        <dsp:cNvSpPr/>
      </dsp:nvSpPr>
      <dsp:spPr>
        <a:xfrm>
          <a:off x="995427" y="98919"/>
          <a:ext cx="1643885" cy="82194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500" kern="1200"/>
            <a:t>Ravnatelj </a:t>
          </a:r>
        </a:p>
      </dsp:txBody>
      <dsp:txXfrm>
        <a:off x="995427" y="98919"/>
        <a:ext cx="1643885" cy="821942"/>
      </dsp:txXfrm>
    </dsp:sp>
    <dsp:sp modelId="{D6248AF4-2F32-4DD7-894B-2EAD49732FE4}">
      <dsp:nvSpPr>
        <dsp:cNvPr id="0" name=""/>
        <dsp:cNvSpPr/>
      </dsp:nvSpPr>
      <dsp:spPr>
        <a:xfrm>
          <a:off x="876" y="1266077"/>
          <a:ext cx="1643885" cy="82194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500" kern="1200"/>
            <a:t>Viši stručni suradnik za pripremu i provedbu projekata</a:t>
          </a:r>
        </a:p>
      </dsp:txBody>
      <dsp:txXfrm>
        <a:off x="876" y="1266077"/>
        <a:ext cx="1643885" cy="821942"/>
      </dsp:txXfrm>
    </dsp:sp>
    <dsp:sp modelId="{09CBD000-E506-40A0-A833-C99384F5BB8D}">
      <dsp:nvSpPr>
        <dsp:cNvPr id="0" name=""/>
        <dsp:cNvSpPr/>
      </dsp:nvSpPr>
      <dsp:spPr>
        <a:xfrm>
          <a:off x="1989977" y="1266077"/>
          <a:ext cx="1643885" cy="82194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500" kern="1200"/>
            <a:t>Viši stručni suradnik za pripremu i provedbu projekata</a:t>
          </a:r>
        </a:p>
      </dsp:txBody>
      <dsp:txXfrm>
        <a:off x="1989977" y="1266077"/>
        <a:ext cx="1643885" cy="8219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590B5-BC07-44F1-95FD-CF1D6E2F6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18</Pages>
  <Words>3320</Words>
  <Characters>18929</Characters>
  <Application>Microsoft Office Word</Application>
  <DocSecurity>0</DocSecurity>
  <Lines>157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competenceNET01</dc:creator>
  <cp:keywords/>
  <dc:description/>
  <cp:lastModifiedBy>Albert Varga</cp:lastModifiedBy>
  <cp:revision>111</cp:revision>
  <cp:lastPrinted>2023-06-15T07:45:00Z</cp:lastPrinted>
  <dcterms:created xsi:type="dcterms:W3CDTF">2022-10-10T12:50:00Z</dcterms:created>
  <dcterms:modified xsi:type="dcterms:W3CDTF">2025-12-30T10:23:00Z</dcterms:modified>
</cp:coreProperties>
</file>